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color w:val="000000"/>
                <w:szCs w:val="21"/>
              </w:rPr>
              <w:t>北京博联创达科技发展有限公司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冯雪峥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流程：</w:t>
            </w: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组建团队—向业主收集资料（现场收集）现场勘测—梳理分析—编制可研报告或接入系统方案—审查—评审—批复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特殊过程及需要确认的过程为：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咨询准备策划阶段：签订咨询合同、制定咨询计划、咨询资料的收集整理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终结阶段：咨询成果交付与资料交接、咨询资料的整理归档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/>
              </w:rPr>
              <w:t>识别与电力工程设计相关的法律法规是：</w:t>
            </w:r>
            <w:r>
              <w:rPr>
                <w:rFonts w:hint="eastAsia"/>
                <w:szCs w:val="21"/>
              </w:rPr>
              <w:t>《国网北京市电力公司配电网工程---典型设计》、《城市电力规划规范》 GB 50293-1999、城市配电网规划设计规范 GB 50613-2010、10kV及以下变电所设计规范 GB 50053-1994、35-110kV高压配电装置设计规范 GB 50060-2008、66kV及以下架空电力线路设计规范 GB 50061-2010、供配电系统设计规范 GB 50052-2009、低压配电设计规范 GB 50054-2011、电力工程电缆设计规范 GB 50217-2007、电力装置的继电保护和自动装置设计规范 GB 50062-2008、电能质量电压波动和闪变 GB/T 12326-2008、电能质量公用电网谐波 GB/T 14549-1993、交流电气装置的接地设计规范 GB/T 50065-2011、建筑物防雷设计规范 GB 50057-2010、《工业与民用配电设计手册》第三版：中国电力出版社，2005、《北京电网规划设计技术原则》 Q/GDW 02 1 1601-2012、《城市电力网规划设计导则》 Q/GDW 156-2006</w:t>
            </w:r>
            <w:r>
              <w:rPr>
                <w:rFonts w:hint="eastAsia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2021.6.19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2021.6.19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A39CF"/>
    <w:rsid w:val="594E5A93"/>
    <w:rsid w:val="68B5316B"/>
    <w:rsid w:val="74075A9B"/>
    <w:rsid w:val="77811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2021-06-19T14:15:26Z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6B35D26FC265414F97CF348B9143222A</vt:lpwstr>
  </property>
</Properties>
</file>