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0163-2021-E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重庆康盛监理咨询有限公司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重庆康盛监理咨询有限公司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重庆市沙坪坝区沙正街109-2-6-4</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404100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重庆市南岸区腾龙大道27号16幢10-5</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404100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李芳</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023-65401168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竹隰生</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许国</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rPr>
                <w:rFonts w:ascii="宋体"/>
                <w:b/>
                <w:color w:val="000000"/>
                <w:sz w:val="20"/>
                <w:szCs w:val="20"/>
              </w:rPr>
            </w:pPr>
            <w:r>
              <w:rPr>
                <w:rFonts w:hint="eastAsia" w:ascii="宋体"/>
                <w:b/>
                <w:color w:val="000000"/>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w:t>
            </w:r>
            <w:r>
              <w:rPr>
                <w:rFonts w:hint="eastAsia" w:ascii="宋体"/>
                <w:b/>
                <w:color w:val="000000"/>
                <w:sz w:val="20"/>
                <w:szCs w:val="20"/>
                <w:lang w:val="en-US" w:eastAsia="zh-CN"/>
              </w:rPr>
              <w:t>20</w:t>
            </w:r>
            <w:r>
              <w:rPr>
                <w:rFonts w:hint="eastAsia" w:ascii="宋体"/>
                <w:b/>
                <w:color w:val="000000"/>
                <w:sz w:val="20"/>
                <w:szCs w:val="20"/>
              </w:rPr>
              <w:t>年</w:t>
            </w:r>
            <w:r>
              <w:rPr>
                <w:rFonts w:hint="eastAsia" w:ascii="宋体"/>
                <w:b/>
                <w:color w:val="000000"/>
                <w:sz w:val="20"/>
                <w:szCs w:val="20"/>
                <w:lang w:val="en-US" w:eastAsia="zh-CN"/>
              </w:rPr>
              <w:t>1</w:t>
            </w:r>
            <w:r>
              <w:rPr>
                <w:rFonts w:hint="eastAsia" w:ascii="宋体"/>
                <w:b/>
                <w:color w:val="000000"/>
                <w:sz w:val="20"/>
                <w:szCs w:val="20"/>
              </w:rPr>
              <w:t>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资质范围内的房屋建筑工程监理、市政公用工程监理服务所涉及的相关环境管理活动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34.01.02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人事</w:t>
      </w:r>
      <w:r>
        <w:rPr>
          <w:rFonts w:hint="eastAsia" w:ascii="宋体" w:hAnsi="宋体" w:cs="Times New Roman"/>
          <w:b/>
          <w:color w:val="000000"/>
          <w:sz w:val="20"/>
          <w:szCs w:val="20"/>
          <w:lang w:val="en-US" w:eastAsia="zh-CN"/>
        </w:rPr>
        <w:t>行政部、办公室、技术测试部、技术标准部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资质范围内的房屋建筑工程监理、市政公用工程监理服务所涉及的相关环境管理活动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人事</w:t>
            </w:r>
            <w:r>
              <w:rPr>
                <w:rFonts w:hint="eastAsia" w:ascii="宋体" w:hAnsi="宋体" w:cs="Times New Roman"/>
                <w:b/>
                <w:color w:val="000000"/>
                <w:sz w:val="20"/>
                <w:szCs w:val="20"/>
                <w:lang w:val="en-US" w:eastAsia="zh-CN"/>
              </w:rPr>
              <w:t>行政部、办公室、技术测试部、技术标准部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cs="Times New Roman"/>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cs="Times New Roman"/>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default" w:ascii="宋体" w:eastAsia="宋体"/>
                <w:b/>
                <w:color w:val="000000"/>
                <w:sz w:val="20"/>
                <w:szCs w:val="20"/>
                <w:lang w:val="en-US" w:eastAsia="zh-CN"/>
              </w:rPr>
            </w:pPr>
            <w:r>
              <w:rPr>
                <w:rFonts w:hint="eastAsia" w:ascii="宋体" w:hAnsi="宋体"/>
                <w:b/>
                <w:color w:val="000000"/>
                <w:sz w:val="20"/>
                <w:szCs w:val="20"/>
              </w:rPr>
              <w:t>客户的场所：</w:t>
            </w:r>
            <w:r>
              <w:rPr>
                <w:rFonts w:hint="eastAsia"/>
                <w:lang w:val="en-US" w:eastAsia="zh-CN"/>
              </w:rPr>
              <w:t>写字楼内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重庆市南岸区腾龙大道27号16幢10-5</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highlight w:val="none"/>
                <w:lang w:eastAsia="zh-CN"/>
              </w:rPr>
            </w:pPr>
            <w:r>
              <w:rPr>
                <w:rFonts w:hint="eastAsia" w:ascii="宋体"/>
                <w:color w:val="000000"/>
                <w:sz w:val="20"/>
                <w:szCs w:val="20"/>
                <w:highlight w:val="none"/>
              </w:rPr>
              <w:t>重要环境因素有：</w:t>
            </w:r>
            <w:r>
              <w:rPr>
                <w:rFonts w:hint="eastAsia" w:ascii="宋体" w:hAnsi="宋体" w:cs="宋体"/>
                <w:szCs w:val="21"/>
                <w:highlight w:val="none"/>
              </w:rPr>
              <w:t>潜在火灾</w:t>
            </w:r>
            <w:r>
              <w:rPr>
                <w:rFonts w:hint="eastAsia" w:ascii="宋体" w:hAnsi="宋体" w:cs="宋体"/>
                <w:szCs w:val="21"/>
                <w:highlight w:val="none"/>
                <w:lang w:eastAsia="zh-CN"/>
              </w:rPr>
              <w:t>、</w:t>
            </w:r>
            <w:r>
              <w:rPr>
                <w:rFonts w:hint="eastAsia" w:ascii="宋体" w:hAnsi="宋体" w:cs="宋体"/>
                <w:szCs w:val="21"/>
                <w:highlight w:val="none"/>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highlight w:val="none"/>
              </w:rPr>
            </w:pPr>
            <w:r>
              <w:rPr>
                <w:rFonts w:hint="eastAsia" w:ascii="宋体"/>
                <w:color w:val="000000"/>
                <w:sz w:val="20"/>
                <w:szCs w:val="20"/>
                <w:highlight w:val="none"/>
              </w:rPr>
              <w:t>针对重要环境因素建立了运行控制程序：（1）环境因素识别与评价管理程序；（2）环境运行管理程序。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highlight w:val="none"/>
              </w:rPr>
            </w:pPr>
            <w:r>
              <w:rPr>
                <w:rFonts w:hint="eastAsia" w:ascii="宋体"/>
                <w:color w:val="000000"/>
                <w:sz w:val="20"/>
                <w:szCs w:val="20"/>
                <w:highlight w:val="none"/>
              </w:rPr>
              <w:t>针对重要环境因素是否明确了监视和测量的要求：监视和测量管理程序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highlight w:val="none"/>
              </w:rPr>
            </w:pPr>
            <w:r>
              <w:rPr>
                <w:rFonts w:hint="eastAsia" w:ascii="宋体"/>
                <w:color w:val="000000"/>
                <w:sz w:val="20"/>
                <w:szCs w:val="20"/>
                <w:highlight w:val="none"/>
              </w:rPr>
              <w:t>是否识别了潜在的紧急情况</w:t>
            </w:r>
            <w:r>
              <w:rPr>
                <w:rFonts w:hint="eastAsia" w:ascii="宋体"/>
                <w:color w:val="000000"/>
                <w:sz w:val="20"/>
                <w:szCs w:val="20"/>
                <w:highlight w:val="none"/>
              </w:rPr>
              <w:sym w:font="Wingdings 2" w:char="0052"/>
            </w:r>
            <w:r>
              <w:rPr>
                <w:rFonts w:hint="eastAsia" w:ascii="宋体"/>
                <w:color w:val="000000"/>
                <w:sz w:val="20"/>
                <w:szCs w:val="20"/>
                <w:highlight w:val="none"/>
              </w:rPr>
              <w:t>是□否，识别是否充分</w:t>
            </w:r>
            <w:r>
              <w:rPr>
                <w:rFonts w:hint="eastAsia" w:ascii="宋体"/>
                <w:color w:val="000000"/>
                <w:sz w:val="20"/>
                <w:szCs w:val="20"/>
                <w:highlight w:val="none"/>
              </w:rPr>
              <w:sym w:font="Wingdings 2" w:char="0052"/>
            </w:r>
            <w:r>
              <w:rPr>
                <w:rFonts w:hint="eastAsia" w:ascii="宋体"/>
                <w:color w:val="000000"/>
                <w:sz w:val="20"/>
                <w:szCs w:val="20"/>
                <w:highlight w:val="none"/>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highlight w:val="none"/>
              </w:rPr>
            </w:pPr>
            <w:r>
              <w:rPr>
                <w:rFonts w:hint="eastAsia" w:ascii="宋体"/>
                <w:color w:val="000000"/>
                <w:sz w:val="20"/>
                <w:szCs w:val="20"/>
                <w:highlight w:val="none"/>
              </w:rPr>
              <w:t>针对潜在的紧急情况是否建立了应急准备与响应程序</w:t>
            </w:r>
            <w:r>
              <w:rPr>
                <w:rFonts w:hint="eastAsia" w:ascii="宋体"/>
                <w:color w:val="000000"/>
                <w:sz w:val="20"/>
                <w:szCs w:val="20"/>
                <w:highlight w:val="none"/>
              </w:rPr>
              <w:sym w:font="Wingdings 2" w:char="0052"/>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highlight w:val="none"/>
              </w:rPr>
            </w:pPr>
            <w:r>
              <w:rPr>
                <w:rFonts w:hint="eastAsia" w:ascii="宋体"/>
                <w:color w:val="000000"/>
                <w:sz w:val="20"/>
                <w:szCs w:val="20"/>
                <w:highlight w:val="none"/>
              </w:rPr>
              <w:t>是否针对每一种潜在紧急情况建立了应急响应预案是否充分</w:t>
            </w:r>
            <w:r>
              <w:rPr>
                <w:rFonts w:hint="eastAsia" w:ascii="宋体"/>
                <w:color w:val="000000"/>
                <w:sz w:val="20"/>
                <w:szCs w:val="20"/>
                <w:highlight w:val="none"/>
              </w:rPr>
              <w:sym w:font="Wingdings 2" w:char="0052"/>
            </w:r>
            <w:r>
              <w:rPr>
                <w:rFonts w:hint="eastAsia" w:ascii="宋体"/>
                <w:color w:val="000000"/>
                <w:sz w:val="20"/>
                <w:szCs w:val="20"/>
                <w:highlight w:val="none"/>
              </w:rPr>
              <w:t>是□否</w:t>
            </w:r>
            <w:r>
              <w:rPr>
                <w:rFonts w:hint="eastAsia" w:ascii="宋体"/>
                <w:color w:val="000000"/>
                <w:sz w:val="20"/>
                <w:szCs w:val="20"/>
                <w:highlight w:val="none"/>
              </w:rPr>
              <w:sym w:font="Wingdings 2" w:char="0052"/>
            </w:r>
            <w:r>
              <w:rPr>
                <w:rFonts w:hint="eastAsia" w:ascii="宋体"/>
                <w:color w:val="000000"/>
                <w:sz w:val="20"/>
                <w:szCs w:val="20"/>
                <w:highlight w:val="none"/>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highlight w:val="none"/>
              </w:rPr>
            </w:pPr>
            <w:r>
              <w:rPr>
                <w:rFonts w:hint="eastAsia" w:ascii="宋体"/>
                <w:color w:val="000000"/>
                <w:sz w:val="20"/>
                <w:szCs w:val="20"/>
                <w:highlight w:val="none"/>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682</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A3"/>
            </w:r>
            <w:r>
              <w:rPr>
                <w:rFonts w:hint="eastAsia" w:ascii="宋体"/>
                <w:b/>
                <w:color w:val="000000"/>
                <w:szCs w:val="21"/>
              </w:rPr>
              <w:t>按审核方案执行</w:t>
            </w:r>
            <w:bookmarkStart w:id="25" w:name="_GoBack"/>
            <w:bookmarkEnd w:id="25"/>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sym w:font="Wingdings 2" w:char="0052"/>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人事</w:t>
            </w:r>
            <w:r>
              <w:rPr>
                <w:rFonts w:hint="eastAsia" w:ascii="宋体" w:hAnsi="宋体" w:cs="Times New Roman"/>
                <w:b/>
                <w:color w:val="000000"/>
                <w:sz w:val="20"/>
                <w:szCs w:val="20"/>
                <w:lang w:val="en-US" w:eastAsia="zh-CN"/>
              </w:rPr>
              <w:t>行政部、办公室、技术测试部、技术标准部</w:t>
            </w:r>
          </w:p>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ascii="Times New Roman" w:hAnsi="Times New Roman" w:cs="Times New Roman"/>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w:t>
            </w:r>
            <w:r>
              <w:rPr>
                <w:rFonts w:hint="eastAsia" w:ascii="Times New Roman" w:hAnsi="Times New Roman" w:cs="Times New Roman"/>
                <w:szCs w:val="21"/>
              </w:rPr>
              <w:t>度》，于</w:t>
            </w:r>
            <w:r>
              <w:rPr>
                <w:rFonts w:hint="eastAsia" w:ascii="Times New Roman" w:hAnsi="Times New Roman" w:cs="Times New Roman"/>
                <w:szCs w:val="21"/>
                <w:lang w:val="en-US" w:eastAsia="zh-CN"/>
              </w:rPr>
              <w:t>2021年1</w:t>
            </w:r>
            <w:r>
              <w:rPr>
                <w:rFonts w:hint="eastAsia" w:ascii="Times New Roman" w:hAnsi="Times New Roman" w:cs="Times New Roman"/>
                <w:szCs w:val="21"/>
              </w:rPr>
              <w:t>月15、16日进行了内部审核。</w:t>
            </w:r>
          </w:p>
          <w:p>
            <w:pPr>
              <w:spacing w:line="400" w:lineRule="exact"/>
              <w:rPr>
                <w:rFonts w:ascii="宋体"/>
                <w:b/>
                <w:color w:val="000000"/>
                <w:sz w:val="20"/>
                <w:szCs w:val="20"/>
              </w:rPr>
            </w:pPr>
            <w:r>
              <w:rPr>
                <w:rFonts w:hint="eastAsia" w:ascii="Times New Roman" w:hAnsi="Times New Roman" w:cs="Times New Roman"/>
                <w:szCs w:val="21"/>
              </w:rPr>
              <w:t>内部审核组由： A组：</w:t>
            </w:r>
            <w:r>
              <w:rPr>
                <w:rFonts w:hint="eastAsia" w:ascii="Times New Roman" w:hAnsi="Times New Roman" w:cs="Times New Roman"/>
                <w:szCs w:val="21"/>
                <w:lang w:eastAsia="zh-CN"/>
              </w:rPr>
              <w:t>任文静</w:t>
            </w:r>
            <w:r>
              <w:rPr>
                <w:rFonts w:hint="eastAsia" w:ascii="Times New Roman" w:hAnsi="Times New Roman" w:cs="Times New Roman"/>
                <w:szCs w:val="21"/>
              </w:rPr>
              <w:t>（行政人事部）    B组：</w:t>
            </w:r>
            <w:r>
              <w:rPr>
                <w:rFonts w:hint="eastAsia" w:ascii="Times New Roman" w:hAnsi="Times New Roman" w:cs="Times New Roman"/>
                <w:szCs w:val="21"/>
                <w:lang w:eastAsia="zh-CN"/>
              </w:rPr>
              <w:t>杨阳</w:t>
            </w:r>
            <w:r>
              <w:rPr>
                <w:rFonts w:hint="eastAsia" w:ascii="Times New Roman" w:hAnsi="Times New Roman" w:cs="Times New Roman"/>
                <w:szCs w:val="21"/>
              </w:rPr>
              <w:t>（</w:t>
            </w:r>
            <w:r>
              <w:rPr>
                <w:rFonts w:hint="eastAsia" w:ascii="Times New Roman" w:hAnsi="Times New Roman" w:cs="Times New Roman"/>
                <w:szCs w:val="21"/>
                <w:lang w:val="en-US" w:eastAsia="zh-CN"/>
              </w:rPr>
              <w:t>财务</w:t>
            </w:r>
            <w:r>
              <w:rPr>
                <w:rFonts w:hint="eastAsia" w:ascii="Times New Roman" w:hAnsi="Times New Roman" w:cs="Times New Roman"/>
                <w:szCs w:val="21"/>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tabs>
                <w:tab w:val="right" w:pos="9332"/>
              </w:tabs>
              <w:spacing w:line="400" w:lineRule="exact"/>
              <w:ind w:firstLine="378" w:firstLineChars="200"/>
              <w:rPr>
                <w:rFonts w:hint="eastAsia" w:ascii="宋体" w:hAnsi="宋体" w:cs="宋体"/>
                <w:w w:val="90"/>
                <w:szCs w:val="21"/>
              </w:rPr>
            </w:pPr>
            <w:r>
              <w:rPr>
                <w:rFonts w:hint="eastAsia" w:ascii="宋体" w:hAnsi="宋体" w:cs="宋体"/>
                <w:w w:val="90"/>
                <w:szCs w:val="21"/>
              </w:rPr>
              <w:t>审核范围:管理体系涉及的公司所有部门、服务场所及活动场所。</w:t>
            </w:r>
          </w:p>
          <w:p>
            <w:pPr>
              <w:tabs>
                <w:tab w:val="right" w:pos="9332"/>
              </w:tabs>
              <w:spacing w:line="400" w:lineRule="exact"/>
              <w:ind w:firstLine="378" w:firstLineChars="200"/>
              <w:rPr>
                <w:rFonts w:ascii="宋体"/>
                <w:b/>
                <w:color w:val="000000"/>
                <w:sz w:val="20"/>
                <w:szCs w:val="20"/>
              </w:rPr>
            </w:pPr>
            <w:r>
              <w:rPr>
                <w:rFonts w:hint="eastAsia" w:ascii="宋体" w:hAnsi="宋体" w:cs="宋体"/>
                <w:w w:val="90"/>
                <w:szCs w:val="21"/>
              </w:rPr>
              <w:t>审核准则：a.GB/T 24001-2016标准；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hint="eastAsia" w:ascii="宋体" w:hAnsi="宋体" w:cs="宋体"/>
                <w:w w:val="90"/>
                <w:szCs w:val="21"/>
              </w:rPr>
            </w:pPr>
            <w:r>
              <w:rPr>
                <w:rFonts w:hint="eastAsia" w:ascii="宋体" w:hAnsi="宋体" w:cs="宋体"/>
                <w:w w:val="90"/>
                <w:szCs w:val="21"/>
              </w:rPr>
              <w:t>本次内审对GB/T 24001-2016标准体系文件管理手册、体系文件进行了全面检查，通过审核可以看出管理体系已基本进入了正常状态，但仍存在一些问题，需要把握顾客的需求及加强销售和售后服务人员的培训。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w:t>
            </w:r>
            <w:r>
              <w:rPr>
                <w:rFonts w:hint="eastAsia" w:ascii="Times New Roman" w:hAnsi="Times New Roman" w:cs="Times New Roman"/>
                <w:szCs w:val="21"/>
              </w:rPr>
              <w:t>于</w:t>
            </w:r>
            <w:r>
              <w:rPr>
                <w:rFonts w:hint="eastAsia" w:ascii="Times New Roman" w:hAnsi="Times New Roman" w:cs="Times New Roman"/>
                <w:szCs w:val="21"/>
                <w:lang w:eastAsia="zh-CN"/>
              </w:rPr>
              <w:t>2021年2月</w:t>
            </w:r>
            <w:r>
              <w:rPr>
                <w:rFonts w:hint="eastAsia" w:ascii="Times New Roman" w:hAnsi="Times New Roman" w:cs="Times New Roman"/>
                <w:szCs w:val="21"/>
              </w:rPr>
              <w:t>26日就管理方针和目标，评价和审定管理体系运行的适宜性、充分性</w:t>
            </w:r>
            <w:r>
              <w:rPr>
                <w:rFonts w:hint="eastAsia"/>
                <w:szCs w:val="21"/>
              </w:rPr>
              <w:t>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A3"/>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Cs w:val="21"/>
        </w:rPr>
        <w:t xml:space="preserve">资质范围内的房屋建筑工程监理、市政公用工程监理服务所涉及的相关环境管理活动 </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1312" behindDoc="0" locked="0" layoutInCell="1" allowOverlap="1">
            <wp:simplePos x="0" y="0"/>
            <wp:positionH relativeFrom="column">
              <wp:posOffset>1988185</wp:posOffset>
            </wp:positionH>
            <wp:positionV relativeFrom="paragraph">
              <wp:posOffset>366395</wp:posOffset>
            </wp:positionV>
            <wp:extent cx="371475" cy="341630"/>
            <wp:effectExtent l="0" t="0" r="9525" b="127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pic:cNvPicPr>
                  </pic:nvPicPr>
                  <pic:blipFill>
                    <a:blip r:embed="rId6"/>
                    <a:stretch>
                      <a:fillRect/>
                    </a:stretch>
                  </pic:blipFill>
                  <pic:spPr>
                    <a:xfrm>
                      <a:off x="0" y="0"/>
                      <a:ext cx="371475" cy="34163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hAnsi="宋体"/>
          <w:b/>
          <w:color w:val="000000"/>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2021年03月07日</w:t>
      </w:r>
    </w:p>
    <w:p>
      <w:pPr>
        <w:ind w:firstLine="5644" w:firstLineChars="2677"/>
        <w:rPr>
          <w:rFonts w:hint="eastAsia" w:ascii="宋体" w:hAnsi="宋体"/>
          <w:b/>
          <w:color w:val="000000"/>
          <w:lang w:val="en-US" w:eastAsia="zh-CN"/>
        </w:rPr>
      </w:pPr>
    </w:p>
    <w:p>
      <w:pPr>
        <w:ind w:firstLine="5644" w:firstLineChars="2677"/>
        <w:rPr>
          <w:rFonts w:hint="default" w:ascii="宋体" w:hAnsi="宋体"/>
          <w:b/>
          <w:color w:val="000000"/>
          <w:lang w:val="en-US" w:eastAsia="zh-CN"/>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w:t>
      </w:r>
      <w:r>
        <w:rPr>
          <w:rFonts w:hint="eastAsia" w:eastAsia="隶书" w:cs="Times New Roman"/>
          <w:color w:val="000000"/>
          <w:sz w:val="28"/>
          <w:szCs w:val="28"/>
        </w:rPr>
        <w:t>方：重庆康盛监理咨询有限公司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212"/>
        <w:gridCol w:w="215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212"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157"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firstLine="211" w:firstLineChars="100"/>
              <w:jc w:val="both"/>
              <w:rPr>
                <w:rFonts w:hint="default" w:ascii="宋体" w:hAnsi="宋体" w:eastAsia="宋体" w:cs="Times New Roman"/>
                <w:b/>
                <w:bCs/>
                <w:kern w:val="2"/>
                <w:sz w:val="21"/>
                <w:szCs w:val="21"/>
                <w:highlight w:val="none"/>
                <w:lang w:val="en-US" w:eastAsia="zh-CN" w:bidi="ar-SA"/>
              </w:rPr>
            </w:pPr>
            <w:r>
              <w:rPr>
                <w:rFonts w:hint="eastAsia" w:ascii="宋体" w:hAnsi="宋体" w:cs="Times New Roman"/>
                <w:b/>
                <w:bCs/>
                <w:kern w:val="2"/>
                <w:sz w:val="21"/>
                <w:szCs w:val="21"/>
                <w:highlight w:val="none"/>
                <w:lang w:val="en-US" w:eastAsia="zh-CN" w:bidi="ar-SA"/>
              </w:rPr>
              <w:t>1</w:t>
            </w:r>
          </w:p>
        </w:tc>
        <w:tc>
          <w:tcPr>
            <w:tcW w:w="5212" w:type="dxa"/>
            <w:vAlign w:val="center"/>
          </w:tcPr>
          <w:p>
            <w:pPr>
              <w:spacing w:line="400" w:lineRule="exact"/>
              <w:jc w:val="center"/>
              <w:rPr>
                <w:rFonts w:hint="default"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未能提供合规性评价的相应记录</w:t>
            </w:r>
          </w:p>
          <w:p>
            <w:pPr>
              <w:pStyle w:val="4"/>
              <w:pBdr>
                <w:bottom w:val="none" w:color="auto" w:sz="0" w:space="0"/>
              </w:pBdr>
              <w:tabs>
                <w:tab w:val="center" w:pos="5737"/>
                <w:tab w:val="clear" w:pos="4153"/>
              </w:tabs>
              <w:jc w:val="center"/>
              <w:rPr>
                <w:rFonts w:hint="eastAsia" w:ascii="宋体" w:hAnsi="宋体" w:eastAsia="宋体" w:cs="Times New Roman"/>
                <w:b/>
                <w:bCs/>
                <w:kern w:val="2"/>
                <w:sz w:val="21"/>
                <w:szCs w:val="21"/>
                <w:highlight w:val="none"/>
                <w:lang w:val="en-US" w:eastAsia="zh-CN" w:bidi="ar-SA"/>
              </w:rPr>
            </w:pPr>
          </w:p>
        </w:tc>
        <w:tc>
          <w:tcPr>
            <w:tcW w:w="2157" w:type="dxa"/>
            <w:vAlign w:val="center"/>
          </w:tcPr>
          <w:p>
            <w:pPr>
              <w:pStyle w:val="4"/>
              <w:pBdr>
                <w:bottom w:val="none" w:color="auto" w:sz="0" w:space="0"/>
              </w:pBdr>
              <w:tabs>
                <w:tab w:val="center" w:pos="5737"/>
                <w:tab w:val="clear" w:pos="4153"/>
              </w:tabs>
              <w:jc w:val="center"/>
              <w:rPr>
                <w:rFonts w:hint="eastAsia" w:ascii="宋体" w:hAnsi="宋体" w:eastAsia="宋体" w:cs="Times New Roman"/>
                <w:b/>
                <w:bCs/>
                <w:kern w:val="2"/>
                <w:sz w:val="21"/>
                <w:szCs w:val="21"/>
                <w:highlight w:val="none"/>
                <w:lang w:val="de-DE" w:eastAsia="zh-CN" w:bidi="ar-SA"/>
              </w:rPr>
            </w:pPr>
            <w:bookmarkStart w:id="24" w:name="审核依据"/>
            <w:r>
              <w:rPr>
                <w:rFonts w:hint="eastAsia" w:ascii="宋体" w:hAnsi="宋体" w:eastAsia="宋体" w:cs="Times New Roman"/>
                <w:b/>
                <w:bCs/>
                <w:kern w:val="2"/>
                <w:sz w:val="21"/>
                <w:szCs w:val="21"/>
                <w:highlight w:val="none"/>
                <w:lang w:val="de-DE" w:eastAsia="zh-CN" w:bidi="ar-SA"/>
              </w:rPr>
              <w:t>GB/T24001-2016</w:t>
            </w:r>
          </w:p>
          <w:p>
            <w:pPr>
              <w:pStyle w:val="4"/>
              <w:pBdr>
                <w:bottom w:val="none" w:color="auto" w:sz="0" w:space="0"/>
              </w:pBdr>
              <w:tabs>
                <w:tab w:val="center" w:pos="5737"/>
                <w:tab w:val="clear" w:pos="4153"/>
              </w:tabs>
              <w:jc w:val="center"/>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de-DE" w:eastAsia="zh-CN" w:bidi="ar-SA"/>
              </w:rPr>
              <w:t>ISO14001:2015</w:t>
            </w:r>
            <w:bookmarkEnd w:id="24"/>
          </w:p>
        </w:tc>
        <w:tc>
          <w:tcPr>
            <w:tcW w:w="1811" w:type="dxa"/>
            <w:vAlign w:val="center"/>
          </w:tcPr>
          <w:p>
            <w:pPr>
              <w:pStyle w:val="4"/>
              <w:pBdr>
                <w:bottom w:val="none" w:color="auto" w:sz="0" w:space="0"/>
              </w:pBdr>
              <w:ind w:right="600"/>
              <w:jc w:val="center"/>
              <w:rPr>
                <w:rFonts w:hint="default"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212" w:type="dxa"/>
            <w:vAlign w:val="center"/>
          </w:tcPr>
          <w:p>
            <w:pPr>
              <w:pStyle w:val="4"/>
              <w:pBdr>
                <w:bottom w:val="none" w:color="auto" w:sz="0" w:space="0"/>
              </w:pBdr>
              <w:tabs>
                <w:tab w:val="center" w:pos="5737"/>
                <w:tab w:val="clear" w:pos="4153"/>
              </w:tabs>
              <w:jc w:val="both"/>
              <w:rPr>
                <w:color w:val="000000"/>
                <w:sz w:val="24"/>
                <w:szCs w:val="24"/>
              </w:rPr>
            </w:pPr>
          </w:p>
        </w:tc>
        <w:tc>
          <w:tcPr>
            <w:tcW w:w="2157" w:type="dxa"/>
            <w:vAlign w:val="center"/>
          </w:tcPr>
          <w:p>
            <w:pPr>
              <w:pStyle w:val="4"/>
              <w:pBdr>
                <w:bottom w:val="none" w:color="auto" w:sz="0" w:space="0"/>
              </w:pBdr>
              <w:tabs>
                <w:tab w:val="center" w:pos="5737"/>
                <w:tab w:val="clear" w:pos="4153"/>
              </w:tabs>
              <w:jc w:val="both"/>
              <w:rPr>
                <w:rFonts w:cs="Times New Roman"/>
                <w:color w:val="000000"/>
                <w:sz w:val="24"/>
                <w:szCs w:val="24"/>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212" w:type="dxa"/>
            <w:vAlign w:val="center"/>
          </w:tcPr>
          <w:p>
            <w:pPr>
              <w:pStyle w:val="4"/>
              <w:pBdr>
                <w:bottom w:val="none" w:color="auto" w:sz="0" w:space="0"/>
              </w:pBdr>
              <w:tabs>
                <w:tab w:val="center" w:pos="5737"/>
                <w:tab w:val="clear" w:pos="4153"/>
              </w:tabs>
              <w:jc w:val="both"/>
              <w:rPr>
                <w:color w:val="000000"/>
                <w:sz w:val="24"/>
                <w:szCs w:val="24"/>
              </w:rPr>
            </w:pPr>
          </w:p>
        </w:tc>
        <w:tc>
          <w:tcPr>
            <w:tcW w:w="215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212" w:type="dxa"/>
            <w:vAlign w:val="center"/>
          </w:tcPr>
          <w:p>
            <w:pPr>
              <w:pStyle w:val="4"/>
              <w:pBdr>
                <w:bottom w:val="none" w:color="auto" w:sz="0" w:space="0"/>
              </w:pBdr>
              <w:tabs>
                <w:tab w:val="center" w:pos="5737"/>
                <w:tab w:val="clear" w:pos="4153"/>
              </w:tabs>
              <w:jc w:val="both"/>
              <w:rPr>
                <w:color w:val="000000"/>
                <w:sz w:val="24"/>
                <w:szCs w:val="24"/>
              </w:rPr>
            </w:pPr>
          </w:p>
        </w:tc>
        <w:tc>
          <w:tcPr>
            <w:tcW w:w="215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212" w:type="dxa"/>
            <w:vAlign w:val="center"/>
          </w:tcPr>
          <w:p>
            <w:pPr>
              <w:pStyle w:val="4"/>
              <w:pBdr>
                <w:bottom w:val="none" w:color="auto" w:sz="0" w:space="0"/>
              </w:pBdr>
              <w:tabs>
                <w:tab w:val="center" w:pos="5737"/>
                <w:tab w:val="clear" w:pos="4153"/>
              </w:tabs>
              <w:jc w:val="both"/>
              <w:rPr>
                <w:color w:val="000000"/>
                <w:sz w:val="24"/>
                <w:szCs w:val="24"/>
              </w:rPr>
            </w:pPr>
          </w:p>
        </w:tc>
        <w:tc>
          <w:tcPr>
            <w:tcW w:w="215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b/>
                <w:color w:val="000000"/>
                <w:sz w:val="22"/>
                <w:szCs w:val="22"/>
              </w:rPr>
            </w:pPr>
            <w:r>
              <w:drawing>
                <wp:anchor distT="0" distB="0" distL="114300" distR="114300" simplePos="0" relativeHeight="251665408" behindDoc="0" locked="0" layoutInCell="1" allowOverlap="1">
                  <wp:simplePos x="0" y="0"/>
                  <wp:positionH relativeFrom="column">
                    <wp:posOffset>647065</wp:posOffset>
                  </wp:positionH>
                  <wp:positionV relativeFrom="paragraph">
                    <wp:posOffset>19685</wp:posOffset>
                  </wp:positionV>
                  <wp:extent cx="371475" cy="341630"/>
                  <wp:effectExtent l="0" t="0" r="9525" b="1270"/>
                  <wp:wrapNone/>
                  <wp:docPr id="3" name="图片 3"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24309\Desktop\文平1.jpg"/>
                          <pic:cNvPicPr>
                            <a:picLocks noChangeAspect="1"/>
                          </pic:cNvPicPr>
                        </pic:nvPicPr>
                        <pic:blipFill>
                          <a:blip r:embed="rId6"/>
                          <a:stretch>
                            <a:fillRect/>
                          </a:stretch>
                        </pic:blipFill>
                        <pic:spPr>
                          <a:xfrm>
                            <a:off x="0" y="0"/>
                            <a:ext cx="371475" cy="341630"/>
                          </a:xfrm>
                          <a:prstGeom prst="rect">
                            <a:avLst/>
                          </a:prstGeom>
                          <a:noFill/>
                          <a:ln>
                            <a:noFill/>
                          </a:ln>
                        </pic:spPr>
                      </pic:pic>
                    </a:graphicData>
                  </a:graphic>
                </wp:anchor>
              </w:drawing>
            </w: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 xml:space="preserve">日期： </w:t>
            </w:r>
            <w:r>
              <w:rPr>
                <w:rFonts w:hint="eastAsia"/>
                <w:color w:val="000000"/>
                <w:szCs w:val="21"/>
              </w:rPr>
              <w:t>2021年03月07日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drawing>
                <wp:anchor distT="0" distB="0" distL="114300" distR="114300" simplePos="0" relativeHeight="251673600" behindDoc="0" locked="0" layoutInCell="1" allowOverlap="1">
                  <wp:simplePos x="0" y="0"/>
                  <wp:positionH relativeFrom="column">
                    <wp:posOffset>577215</wp:posOffset>
                  </wp:positionH>
                  <wp:positionV relativeFrom="paragraph">
                    <wp:posOffset>24765</wp:posOffset>
                  </wp:positionV>
                  <wp:extent cx="371475" cy="341630"/>
                  <wp:effectExtent l="0" t="0" r="9525" b="1270"/>
                  <wp:wrapNone/>
                  <wp:docPr id="4" name="图片 4"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4309\Desktop\文平1.jpg"/>
                          <pic:cNvPicPr>
                            <a:picLocks noChangeAspect="1"/>
                          </pic:cNvPicPr>
                        </pic:nvPicPr>
                        <pic:blipFill>
                          <a:blip r:embed="rId6"/>
                          <a:stretch>
                            <a:fillRect/>
                          </a:stretch>
                        </pic:blipFill>
                        <pic:spPr>
                          <a:xfrm>
                            <a:off x="0" y="0"/>
                            <a:ext cx="371475" cy="341630"/>
                          </a:xfrm>
                          <a:prstGeom prst="rect">
                            <a:avLst/>
                          </a:prstGeom>
                          <a:noFill/>
                          <a:ln>
                            <a:noFill/>
                          </a:ln>
                        </pic:spPr>
                      </pic:pic>
                    </a:graphicData>
                  </a:graphic>
                </wp:anchor>
              </w:drawing>
            </w: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2021年03月07日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DD1A63"/>
    <w:rsid w:val="1505095E"/>
    <w:rsid w:val="189D5567"/>
    <w:rsid w:val="18D1243C"/>
    <w:rsid w:val="1EB31BA5"/>
    <w:rsid w:val="216775ED"/>
    <w:rsid w:val="29762DC9"/>
    <w:rsid w:val="2E520FD3"/>
    <w:rsid w:val="310164CE"/>
    <w:rsid w:val="31CB0694"/>
    <w:rsid w:val="33BF02C5"/>
    <w:rsid w:val="36E514C5"/>
    <w:rsid w:val="37865855"/>
    <w:rsid w:val="391A56C2"/>
    <w:rsid w:val="3AD928AE"/>
    <w:rsid w:val="3E575CA6"/>
    <w:rsid w:val="41711419"/>
    <w:rsid w:val="42647108"/>
    <w:rsid w:val="44BB3BEC"/>
    <w:rsid w:val="4A422405"/>
    <w:rsid w:val="4A537D57"/>
    <w:rsid w:val="4C036AAD"/>
    <w:rsid w:val="4DDA27D1"/>
    <w:rsid w:val="4E4A5D5D"/>
    <w:rsid w:val="4F8A6543"/>
    <w:rsid w:val="4FF65515"/>
    <w:rsid w:val="531C517F"/>
    <w:rsid w:val="55D72683"/>
    <w:rsid w:val="58E338FE"/>
    <w:rsid w:val="5D202DB1"/>
    <w:rsid w:val="5DF46562"/>
    <w:rsid w:val="5F5C2EE1"/>
    <w:rsid w:val="626B249E"/>
    <w:rsid w:val="63911038"/>
    <w:rsid w:val="64C9504A"/>
    <w:rsid w:val="6631744C"/>
    <w:rsid w:val="670F7F05"/>
    <w:rsid w:val="671B487C"/>
    <w:rsid w:val="6A6F6C5D"/>
    <w:rsid w:val="72962E87"/>
    <w:rsid w:val="73DA648B"/>
    <w:rsid w:val="774A30DC"/>
    <w:rsid w:val="77606590"/>
    <w:rsid w:val="7A1E73AA"/>
    <w:rsid w:val="7A8516BC"/>
    <w:rsid w:val="7B3A2E96"/>
    <w:rsid w:val="7C386E71"/>
    <w:rsid w:val="7E7D15BD"/>
    <w:rsid w:val="7F703BBB"/>
    <w:rsid w:val="7F8D33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2021-03-12T05:33:43Z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