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0158-2021-QEO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成都市融盛智能科技有限公司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Q:33.02.02</w:t>
            </w:r>
          </w:p>
          <w:p>
            <w:pPr>
              <w:spacing w:line="240" w:lineRule="exact"/>
              <w:jc w:val="center"/>
              <w:rPr>
                <w:b/>
                <w:color w:val="000000"/>
                <w:sz w:val="20"/>
                <w:szCs w:val="20"/>
              </w:rPr>
            </w:pPr>
            <w:r>
              <w:rPr>
                <w:b/>
                <w:color w:val="000000"/>
                <w:sz w:val="20"/>
                <w:szCs w:val="20"/>
              </w:rPr>
              <w:t>E:33.02.02</w:t>
            </w:r>
          </w:p>
          <w:p>
            <w:pPr>
              <w:spacing w:line="240" w:lineRule="exact"/>
              <w:jc w:val="center"/>
              <w:rPr>
                <w:b/>
                <w:color w:val="000000"/>
                <w:sz w:val="20"/>
                <w:szCs w:val="20"/>
              </w:rPr>
            </w:pPr>
            <w:r>
              <w:rPr>
                <w:b/>
                <w:color w:val="000000"/>
                <w:sz w:val="20"/>
                <w:szCs w:val="20"/>
              </w:rPr>
              <w:t>O:33.02.02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25" w:name="_GoBack"/>
      <w:bookmarkEnd w:id="25"/>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T45001-2020</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成都市融盛智能科技有限公司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成都市武侯区人民南路49号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成都市武侯区科华北路36号605</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陈朝</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陈朝</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陈翠香</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Q：系统集成</w:t>
            </w:r>
          </w:p>
          <w:p>
            <w:pPr>
              <w:spacing w:line="400" w:lineRule="exact"/>
              <w:rPr>
                <w:rFonts w:ascii="宋体" w:hAnsi="宋体"/>
                <w:b/>
                <w:color w:val="000000"/>
                <w:sz w:val="20"/>
                <w:szCs w:val="20"/>
              </w:rPr>
            </w:pPr>
            <w:r>
              <w:rPr>
                <w:rFonts w:ascii="宋体" w:hAnsi="宋体"/>
                <w:b/>
                <w:color w:val="000000"/>
                <w:sz w:val="20"/>
                <w:szCs w:val="20"/>
              </w:rPr>
              <w:t>E：系统集成所涉及场所的相关环境管理活动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O：系统集成所涉及场所的相关职业健康安全管理活动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Q：33.02.02</w:t>
            </w:r>
          </w:p>
          <w:p>
            <w:pPr>
              <w:spacing w:line="280" w:lineRule="exact"/>
              <w:rPr>
                <w:rFonts w:ascii="宋体"/>
                <w:b/>
                <w:color w:val="000000"/>
                <w:sz w:val="20"/>
                <w:szCs w:val="20"/>
              </w:rPr>
            </w:pPr>
            <w:r>
              <w:rPr>
                <w:rFonts w:ascii="宋体"/>
                <w:b/>
                <w:color w:val="000000"/>
                <w:sz w:val="20"/>
                <w:szCs w:val="20"/>
              </w:rPr>
              <w:t>E：33.02.02</w:t>
            </w:r>
          </w:p>
          <w:p>
            <w:pPr>
              <w:spacing w:line="280" w:lineRule="exact"/>
              <w:rPr>
                <w:rFonts w:ascii="宋体"/>
                <w:b/>
                <w:color w:val="000000"/>
                <w:sz w:val="20"/>
                <w:szCs w:val="20"/>
              </w:rPr>
            </w:pPr>
            <w:r>
              <w:rPr>
                <w:rFonts w:ascii="宋体"/>
                <w:b/>
                <w:color w:val="000000"/>
                <w:sz w:val="20"/>
                <w:szCs w:val="20"/>
              </w:rPr>
              <w:t>O：33.02.02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程序文件、管理手册、内审、管理评审等。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管理层、行政部、项目实施部、市场部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lang w:val="en-US" w:eastAsia="zh-CN"/>
              </w:rPr>
              <w:t xml:space="preserve"> </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管理层、行政部、项目实施部、市场部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项目实施部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rPr>
                <w:rFonts w:hint="eastAsia" w:ascii="宋体" w:hAnsi="宋体"/>
                <w:color w:val="000000"/>
                <w:sz w:val="20"/>
                <w:szCs w:val="20"/>
              </w:rPr>
              <w:t>成都市武侯区科华北路36号605</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color w:val="000000"/>
                <w:sz w:val="20"/>
                <w:szCs w:val="20"/>
                <w:lang w:eastAsia="zh-CN"/>
              </w:rPr>
              <w:t>■</w:t>
            </w:r>
            <w:r>
              <w:rPr>
                <w:rFonts w:hint="eastAsia" w:ascii="宋体"/>
                <w:color w:val="000000"/>
                <w:sz w:val="20"/>
                <w:szCs w:val="20"/>
              </w:rPr>
              <w:t>产品技术标准号：GB/T 20273-2006信息安全技术 数据库管理系统安全技术要求、GB/T 20009-2005 信息安全技术 数据库管理系统安全评估准则、YD/T 2405-2012   互联网数据中心和互联网接入服务信息安全管理系统接口规范、YD/T 2248-2012  互联网数据中心和互联网接入服务信息安全管理系统技术要求GB/T 9386-1988 计算机软件测试文件编制规范、GB/T 8566-2007《信息技术 软件生存周期过程》、GB/T 16680-2015《系统与软件工程 用户文档的管理者要求》等标准。</w:t>
            </w:r>
            <w:r>
              <w:rPr>
                <w:rFonts w:hint="eastAsia" w:ascii="宋体"/>
                <w:color w:val="000000"/>
                <w:sz w:val="20"/>
                <w:szCs w:val="20"/>
                <w:lang w:eastAsia="zh-CN"/>
              </w:rPr>
              <w:t>■</w:t>
            </w: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环境执行标准：</w:t>
            </w:r>
            <w:r>
              <w:rPr>
                <w:rFonts w:hint="eastAsia" w:ascii="宋体" w:eastAsia="宋体"/>
                <w:color w:val="000000"/>
                <w:sz w:val="20"/>
                <w:szCs w:val="20"/>
              </w:rPr>
              <w:t>污水排入城镇下水道水质标准（GB/T 31962-2015）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Times New Roman" w:cs="Times New Roman"/>
                <w:color w:val="000000"/>
                <w:sz w:val="20"/>
                <w:szCs w:val="20"/>
              </w:rPr>
              <w:t>执行标准：中华人民共和国安全消防法、中华人民共和国劳动合同法、中华人民共和国安全生产法、火灾事故调查规定GA/T 1034-2012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eastAsia="宋体"/>
                <w:color w:val="000000"/>
                <w:sz w:val="20"/>
                <w:szCs w:val="20"/>
                <w:lang w:eastAsia="zh-CN"/>
              </w:rPr>
            </w:pPr>
            <w:r>
              <w:rPr>
                <w:rFonts w:hint="eastAsia"/>
                <w:lang w:val="en-US" w:eastAsia="zh-CN"/>
              </w:rPr>
              <w:t>需求确认→</w:t>
            </w:r>
            <w:r>
              <w:rPr>
                <w:rFonts w:hint="eastAsia"/>
                <w:highlight w:val="none"/>
              </w:rPr>
              <w:t>确定方案→合同签订→采购→安装调试→项目验收→交付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设计、隐蔽过程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设计、隐蔽</w:t>
            </w:r>
            <w:r>
              <w:rPr>
                <w:rFonts w:hint="eastAsia" w:ascii="宋体"/>
                <w:color w:val="000000"/>
                <w:sz w:val="20"/>
                <w:szCs w:val="20"/>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rPr>
              <w:t>主要设备：高空作业伸臂式举升车</w:t>
            </w:r>
            <w:r>
              <w:rPr>
                <w:rFonts w:hint="eastAsia" w:ascii="宋体" w:hAnsi="宋体"/>
                <w:color w:val="000000"/>
                <w:spacing w:val="-10"/>
                <w:sz w:val="20"/>
                <w:szCs w:val="20"/>
                <w:lang w:eastAsia="zh-CN"/>
              </w:rPr>
              <w:t>、</w:t>
            </w:r>
            <w:r>
              <w:rPr>
                <w:rFonts w:hint="eastAsia" w:ascii="宋体" w:hAnsi="宋体"/>
                <w:color w:val="000000"/>
                <w:spacing w:val="-10"/>
                <w:sz w:val="20"/>
                <w:szCs w:val="20"/>
              </w:rPr>
              <w:t>工程车</w:t>
            </w:r>
            <w:r>
              <w:rPr>
                <w:rFonts w:hint="eastAsia" w:ascii="宋体" w:hAnsi="宋体"/>
                <w:color w:val="000000"/>
                <w:spacing w:val="-10"/>
                <w:sz w:val="20"/>
                <w:szCs w:val="20"/>
                <w:lang w:eastAsia="zh-CN"/>
              </w:rPr>
              <w:t>、</w:t>
            </w:r>
            <w:r>
              <w:rPr>
                <w:rFonts w:hint="eastAsia" w:ascii="宋体" w:hAnsi="宋体"/>
                <w:color w:val="000000"/>
                <w:spacing w:val="-10"/>
                <w:sz w:val="20"/>
                <w:szCs w:val="20"/>
              </w:rPr>
              <w:t>发电机</w:t>
            </w:r>
            <w:r>
              <w:rPr>
                <w:rFonts w:hint="eastAsia" w:ascii="宋体" w:hAnsi="宋体"/>
                <w:color w:val="000000"/>
                <w:spacing w:val="-10"/>
                <w:sz w:val="20"/>
                <w:szCs w:val="20"/>
                <w:lang w:eastAsia="zh-CN"/>
              </w:rPr>
              <w:t>、</w:t>
            </w:r>
            <w:r>
              <w:rPr>
                <w:rFonts w:hint="eastAsia" w:ascii="宋体" w:hAnsi="宋体"/>
                <w:color w:val="000000"/>
                <w:spacing w:val="-10"/>
                <w:sz w:val="20"/>
                <w:szCs w:val="20"/>
              </w:rPr>
              <w:t>载货汽车</w:t>
            </w:r>
            <w:r>
              <w:rPr>
                <w:rFonts w:hint="eastAsia" w:ascii="宋体" w:hAnsi="宋体"/>
                <w:color w:val="000000"/>
                <w:spacing w:val="-10"/>
                <w:sz w:val="20"/>
                <w:szCs w:val="20"/>
                <w:lang w:eastAsia="zh-CN"/>
              </w:rPr>
              <w:t>、</w:t>
            </w:r>
            <w:r>
              <w:rPr>
                <w:rFonts w:hint="eastAsia" w:ascii="宋体" w:hAnsi="宋体"/>
                <w:color w:val="000000"/>
                <w:spacing w:val="-10"/>
                <w:sz w:val="20"/>
                <w:szCs w:val="20"/>
              </w:rPr>
              <w:t>巡查车辆</w:t>
            </w:r>
            <w:r>
              <w:rPr>
                <w:rFonts w:hint="eastAsia" w:ascii="宋体" w:hAnsi="宋体"/>
                <w:color w:val="000000"/>
                <w:spacing w:val="-10"/>
                <w:sz w:val="20"/>
                <w:szCs w:val="20"/>
                <w:lang w:eastAsia="zh-CN"/>
              </w:rPr>
              <w:t>、</w:t>
            </w:r>
            <w:r>
              <w:rPr>
                <w:rFonts w:hint="eastAsia" w:ascii="宋体" w:hAnsi="宋体"/>
                <w:color w:val="000000"/>
                <w:spacing w:val="-10"/>
                <w:sz w:val="20"/>
                <w:szCs w:val="20"/>
              </w:rPr>
              <w:t>随车吊</w:t>
            </w:r>
            <w:r>
              <w:rPr>
                <w:rFonts w:hint="eastAsia" w:ascii="宋体" w:hAnsi="宋体"/>
                <w:color w:val="000000"/>
                <w:spacing w:val="-10"/>
                <w:sz w:val="20"/>
                <w:szCs w:val="20"/>
                <w:lang w:eastAsia="zh-CN"/>
              </w:rPr>
              <w:t>、</w:t>
            </w:r>
            <w:r>
              <w:rPr>
                <w:rFonts w:hint="eastAsia" w:ascii="宋体" w:hAnsi="宋体"/>
                <w:color w:val="000000"/>
                <w:spacing w:val="-10"/>
                <w:sz w:val="20"/>
                <w:szCs w:val="20"/>
              </w:rPr>
              <w:t>振捣器</w:t>
            </w:r>
            <w:r>
              <w:rPr>
                <w:rFonts w:hint="eastAsia" w:ascii="宋体" w:hAnsi="宋体"/>
                <w:color w:val="000000"/>
                <w:spacing w:val="-10"/>
                <w:sz w:val="20"/>
                <w:szCs w:val="20"/>
                <w:lang w:eastAsia="zh-CN"/>
              </w:rPr>
              <w:t>、</w:t>
            </w:r>
            <w:r>
              <w:rPr>
                <w:rFonts w:hint="eastAsia" w:ascii="宋体" w:hAnsi="宋体"/>
                <w:color w:val="000000"/>
                <w:spacing w:val="-10"/>
                <w:sz w:val="20"/>
                <w:szCs w:val="20"/>
              </w:rPr>
              <w:t>冲击电钻</w:t>
            </w:r>
            <w:r>
              <w:rPr>
                <w:rFonts w:hint="eastAsia" w:ascii="宋体" w:hAnsi="宋体"/>
                <w:color w:val="000000"/>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hAnsi="宋体" w:eastAsia="宋体"/>
                <w:color w:val="000000"/>
                <w:spacing w:val="-10"/>
                <w:sz w:val="20"/>
                <w:szCs w:val="20"/>
                <w:lang w:eastAsia="zh-CN"/>
              </w:rPr>
              <w:t>万用表、钢卷尺、网线测线仪。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重要环境因素有：固体废弃物的排放</w:t>
            </w:r>
            <w:r>
              <w:rPr>
                <w:rFonts w:hint="eastAsia" w:ascii="宋体"/>
                <w:color w:val="000000"/>
                <w:sz w:val="20"/>
                <w:szCs w:val="20"/>
                <w:lang w:eastAsia="zh-CN"/>
              </w:rPr>
              <w:t>、</w:t>
            </w:r>
            <w:r>
              <w:rPr>
                <w:rFonts w:hint="eastAsia" w:ascii="宋体"/>
                <w:color w:val="000000"/>
                <w:sz w:val="20"/>
                <w:szCs w:val="20"/>
              </w:rPr>
              <w:t>潜在火灾</w:t>
            </w:r>
            <w:r>
              <w:rPr>
                <w:rFonts w:hint="eastAsia" w:ascii="宋体"/>
                <w:color w:val="000000"/>
                <w:sz w:val="20"/>
                <w:szCs w:val="20"/>
                <w:lang w:eastAsia="zh-CN"/>
              </w:rPr>
              <w:t>、</w:t>
            </w:r>
            <w:r>
              <w:rPr>
                <w:rFonts w:hint="eastAsia" w:ascii="宋体"/>
                <w:color w:val="000000"/>
                <w:sz w:val="20"/>
                <w:szCs w:val="20"/>
              </w:rPr>
              <w:t>噪声的排放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hAnsi="宋体"/>
                <w:color w:val="000000"/>
                <w:sz w:val="20"/>
                <w:szCs w:val="20"/>
              </w:rPr>
              <w:t>是□否</w:t>
            </w:r>
            <w:r>
              <w:rPr>
                <w:rFonts w:hint="eastAsia" w:ascii="宋体"/>
                <w:color w:val="000000"/>
                <w:sz w:val="20"/>
                <w:szCs w:val="20"/>
              </w:rPr>
              <w:t>，识别是否充分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auto"/>
                <w:sz w:val="20"/>
                <w:szCs w:val="20"/>
              </w:rPr>
              <w:t>火灾应急预案</w:t>
            </w:r>
            <w:r>
              <w:rPr>
                <w:rFonts w:hint="eastAsia" w:ascii="宋体"/>
                <w:color w:val="auto"/>
                <w:sz w:val="20"/>
                <w:szCs w:val="20"/>
                <w:lang w:eastAsia="zh-CN"/>
              </w:rPr>
              <w:t>、触电事故应急预案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不可接受风险有：触电、火灾、机械伤害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20</w:t>
            </w:r>
            <w:r>
              <w:rPr>
                <w:rFonts w:hint="eastAsia" w:ascii="宋体"/>
                <w:color w:val="000000"/>
                <w:sz w:val="20"/>
                <w:szCs w:val="20"/>
                <w:u w:val="single"/>
              </w:rPr>
              <w:t>人</w:t>
            </w:r>
            <w:r>
              <w:rPr>
                <w:rFonts w:hint="eastAsia" w:ascii="宋体"/>
                <w:color w:val="000000"/>
                <w:sz w:val="20"/>
                <w:szCs w:val="20"/>
              </w:rPr>
              <w:t>，其中管理人员：</w:t>
            </w:r>
            <w:r>
              <w:rPr>
                <w:rFonts w:hint="eastAsia" w:ascii="宋体"/>
                <w:color w:val="000000"/>
                <w:sz w:val="20"/>
                <w:szCs w:val="20"/>
                <w:u w:val="single"/>
                <w:lang w:val="en-US" w:eastAsia="zh-CN"/>
              </w:rPr>
              <w:t>6</w:t>
            </w:r>
            <w:r>
              <w:rPr>
                <w:rFonts w:hint="eastAsia" w:ascii="宋体"/>
                <w:color w:val="000000"/>
                <w:sz w:val="20"/>
                <w:szCs w:val="20"/>
                <w:u w:val="singl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u w:val="single"/>
                <w:lang w:val="en-US" w:eastAsia="zh-CN"/>
              </w:rPr>
              <w:t>3</w:t>
            </w:r>
            <w:r>
              <w:rPr>
                <w:rFonts w:hint="eastAsia" w:ascii="宋体"/>
                <w:color w:val="000000"/>
                <w:sz w:val="20"/>
                <w:szCs w:val="20"/>
                <w:u w:val="single"/>
              </w:rPr>
              <w:t>人</w:t>
            </w:r>
            <w:r>
              <w:rPr>
                <w:rFonts w:hint="eastAsia" w:ascii="宋体"/>
                <w:color w:val="000000"/>
                <w:sz w:val="20"/>
                <w:szCs w:val="20"/>
              </w:rPr>
              <w:t>，场所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eastAsia="宋体"/>
                <w:b/>
                <w:color w:val="000000"/>
                <w:szCs w:val="21"/>
                <w:lang w:val="en-US" w:eastAsia="zh-CN"/>
              </w:rPr>
              <w:t>临时场所</w:t>
            </w:r>
            <w:r>
              <w:rPr>
                <w:rFonts w:hint="eastAsia" w:ascii="宋体" w:hAnsi="宋体"/>
                <w:b/>
                <w:color w:val="000000"/>
                <w:szCs w:val="21"/>
                <w:lang w:val="en-US" w:eastAsia="zh-CN"/>
              </w:rPr>
              <w:t>离公司本部7公里，车程30分钟。</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办公室、市场部、项目实施部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合同评审过程，设计过程，安装过程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办公场所、安装场所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办公室、项目实施部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办公场所、安装场所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办公室、项目实施部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办公场所、安装场所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了解内审的策划</w:t>
            </w:r>
            <w:r>
              <w:rPr>
                <w:rFonts w:ascii="宋体" w:hAnsi="宋体"/>
                <w:b/>
                <w:color w:val="000000" w:themeColor="text1"/>
                <w:sz w:val="21"/>
                <w:szCs w:val="21"/>
              </w:rPr>
              <w:t xml:space="preserve">; </w:t>
            </w:r>
          </w:p>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建立有《内部审核控制程</w:t>
            </w:r>
            <w:r>
              <w:rPr>
                <w:rFonts w:hint="eastAsia" w:ascii="宋体" w:hAnsi="宋体" w:cs="Times New Roman"/>
                <w:color w:val="000000" w:themeColor="text1"/>
                <w:sz w:val="21"/>
                <w:szCs w:val="21"/>
              </w:rPr>
              <w:t>序》，于202</w:t>
            </w:r>
            <w:r>
              <w:rPr>
                <w:rFonts w:hint="eastAsia" w:ascii="宋体" w:hAnsi="宋体" w:cs="Times New Roman"/>
                <w:color w:val="000000" w:themeColor="text1"/>
                <w:sz w:val="21"/>
                <w:szCs w:val="21"/>
                <w:lang w:val="en-US" w:eastAsia="zh-CN"/>
              </w:rPr>
              <w:t>1</w:t>
            </w:r>
            <w:r>
              <w:rPr>
                <w:rFonts w:hint="eastAsia" w:ascii="宋体" w:hAnsi="宋体" w:cs="Times New Roman"/>
                <w:color w:val="000000" w:themeColor="text1"/>
                <w:sz w:val="21"/>
                <w:szCs w:val="21"/>
              </w:rPr>
              <w:t>年1月</w:t>
            </w:r>
            <w:r>
              <w:rPr>
                <w:rFonts w:hint="eastAsia" w:ascii="宋体" w:hAnsi="宋体" w:cs="Times New Roman"/>
                <w:color w:val="000000" w:themeColor="text1"/>
                <w:sz w:val="21"/>
                <w:szCs w:val="21"/>
                <w:lang w:val="en-US" w:eastAsia="zh-CN"/>
              </w:rPr>
              <w:t>16</w:t>
            </w:r>
            <w:r>
              <w:rPr>
                <w:rFonts w:hint="eastAsia" w:ascii="宋体" w:hAnsi="宋体" w:cs="Times New Roman"/>
                <w:color w:val="000000" w:themeColor="text1"/>
                <w:sz w:val="21"/>
                <w:szCs w:val="21"/>
              </w:rPr>
              <w:t>日至</w:t>
            </w:r>
            <w:r>
              <w:rPr>
                <w:rFonts w:hint="eastAsia" w:ascii="宋体" w:hAnsi="宋体" w:cs="Times New Roman"/>
                <w:color w:val="000000" w:themeColor="text1"/>
                <w:sz w:val="21"/>
                <w:szCs w:val="21"/>
                <w:lang w:val="en-US" w:eastAsia="zh-CN"/>
              </w:rPr>
              <w:t>1</w:t>
            </w:r>
            <w:r>
              <w:rPr>
                <w:rFonts w:hint="eastAsia" w:ascii="宋体" w:hAnsi="宋体" w:cs="Times New Roman"/>
                <w:color w:val="000000" w:themeColor="text1"/>
                <w:sz w:val="21"/>
                <w:szCs w:val="21"/>
              </w:rPr>
              <w:t>月</w:t>
            </w:r>
            <w:r>
              <w:rPr>
                <w:rFonts w:hint="eastAsia" w:ascii="宋体" w:hAnsi="宋体" w:cs="Times New Roman"/>
                <w:color w:val="000000" w:themeColor="text1"/>
                <w:sz w:val="21"/>
                <w:szCs w:val="21"/>
                <w:lang w:val="en-US" w:eastAsia="zh-CN"/>
              </w:rPr>
              <w:t>17</w:t>
            </w:r>
            <w:r>
              <w:rPr>
                <w:rFonts w:hint="eastAsia" w:ascii="宋体" w:hAnsi="宋体" w:cs="Times New Roman"/>
                <w:color w:val="000000" w:themeColor="text1"/>
                <w:sz w:val="21"/>
                <w:szCs w:val="21"/>
              </w:rPr>
              <w:t>日进行了内部审核。内部审核组组成：审核组长：卢桂群</w:t>
            </w:r>
            <w:r>
              <w:rPr>
                <w:rFonts w:hint="eastAsia" w:ascii="宋体" w:hAnsi="宋体"/>
                <w:color w:val="000000" w:themeColor="text1"/>
                <w:szCs w:val="21"/>
              </w:rPr>
              <w:t xml:space="preserve">    组员：彭俊松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color w:val="000000" w:themeColor="text1"/>
                <w:sz w:val="21"/>
                <w:szCs w:val="21"/>
              </w:rPr>
            </w:pPr>
            <w:r>
              <w:rPr>
                <w:rFonts w:hint="eastAsia"/>
                <w:color w:val="000000" w:themeColor="text1"/>
                <w:sz w:val="21"/>
                <w:szCs w:val="21"/>
              </w:rPr>
              <w:t>了解内审是否覆盖了管理体系范围内的活动及标准的要求; （1）审核范围：与本公司</w:t>
            </w:r>
            <w:r>
              <w:rPr>
                <w:rFonts w:hint="eastAsia"/>
                <w:color w:val="000000" w:themeColor="text1"/>
                <w:sz w:val="21"/>
                <w:szCs w:val="21"/>
                <w:lang w:val="en-US" w:eastAsia="zh-CN"/>
              </w:rPr>
              <w:t>质量、环境、职业健康安全</w:t>
            </w:r>
            <w:r>
              <w:rPr>
                <w:rFonts w:hint="eastAsia"/>
                <w:color w:val="000000" w:themeColor="text1"/>
                <w:sz w:val="21"/>
                <w:szCs w:val="21"/>
              </w:rPr>
              <w:t>管理体系有关的所有部门、活动和人员</w:t>
            </w:r>
          </w:p>
          <w:p>
            <w:pPr>
              <w:spacing w:line="260" w:lineRule="exact"/>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（2）审核准则：GB/T19001-2016</w:t>
            </w:r>
            <w:r>
              <w:rPr>
                <w:rFonts w:hint="eastAsia"/>
                <w:color w:val="000000" w:themeColor="text1"/>
                <w:sz w:val="21"/>
                <w:szCs w:val="21"/>
                <w:lang w:eastAsia="zh-CN"/>
              </w:rPr>
              <w:t>、</w:t>
            </w:r>
            <w:r>
              <w:rPr>
                <w:rFonts w:hint="eastAsia"/>
                <w:color w:val="000000" w:themeColor="text1"/>
                <w:sz w:val="21"/>
                <w:szCs w:val="21"/>
              </w:rPr>
              <w:t>GB/T24001-2016、ISO45001-2018标准，整合型手册、程序文件、适用的法律法规、相关方要求等。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了解内审结论是什么？</w:t>
            </w:r>
          </w:p>
          <w:p>
            <w:pPr>
              <w:spacing w:line="260" w:lineRule="exact"/>
              <w:rPr>
                <w:rFonts w:ascii="宋体" w:hAnsi="宋体" w:eastAsia="宋体" w:cs="Times New Roman"/>
                <w:b/>
                <w:color w:val="000000" w:themeColor="text1"/>
                <w:kern w:val="2"/>
                <w:sz w:val="21"/>
                <w:szCs w:val="21"/>
                <w:lang w:val="en-US" w:eastAsia="zh-CN" w:bidi="ar-SA"/>
              </w:rPr>
            </w:pPr>
            <w:r>
              <w:rPr>
                <w:rFonts w:hint="eastAsia"/>
                <w:color w:val="000000" w:themeColor="text1"/>
                <w:sz w:val="21"/>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了解管理评审的策划</w:t>
            </w:r>
            <w:r>
              <w:rPr>
                <w:rFonts w:ascii="宋体" w:hAnsi="宋体"/>
                <w:b/>
                <w:color w:val="000000" w:themeColor="text1"/>
                <w:sz w:val="21"/>
                <w:szCs w:val="21"/>
              </w:rPr>
              <w:t xml:space="preserve">; </w:t>
            </w:r>
            <w:r>
              <w:rPr>
                <w:rFonts w:hint="eastAsia"/>
                <w:color w:val="000000" w:themeColor="text1"/>
                <w:sz w:val="21"/>
                <w:szCs w:val="21"/>
              </w:rPr>
              <w:t>建立有《管理评审控制程序》，于</w:t>
            </w:r>
            <w:r>
              <w:rPr>
                <w:rFonts w:hint="eastAsia" w:ascii="Times New Roman" w:hAnsi="Times New Roman" w:cs="Times New Roman"/>
                <w:color w:val="000000" w:themeColor="text1"/>
                <w:sz w:val="21"/>
                <w:szCs w:val="21"/>
              </w:rPr>
              <w:t>202</w:t>
            </w:r>
            <w:r>
              <w:rPr>
                <w:rFonts w:hint="eastAsia" w:ascii="Times New Roman" w:hAnsi="Times New Roman" w:cs="Times New Roman"/>
                <w:color w:val="000000" w:themeColor="text1"/>
                <w:sz w:val="21"/>
                <w:szCs w:val="21"/>
                <w:lang w:val="en-US" w:eastAsia="zh-CN"/>
              </w:rPr>
              <w:t>1</w:t>
            </w:r>
            <w:r>
              <w:rPr>
                <w:rFonts w:hint="eastAsia" w:ascii="Times New Roman" w:hAnsi="Times New Roman" w:cs="Times New Roman"/>
                <w:color w:val="000000" w:themeColor="text1"/>
                <w:sz w:val="21"/>
                <w:szCs w:val="21"/>
              </w:rPr>
              <w:t>年1月</w:t>
            </w:r>
            <w:r>
              <w:rPr>
                <w:rFonts w:hint="eastAsia" w:ascii="Times New Roman" w:hAnsi="Times New Roman" w:cs="Times New Roman"/>
                <w:color w:val="000000" w:themeColor="text1"/>
                <w:sz w:val="21"/>
                <w:szCs w:val="21"/>
                <w:lang w:val="en-US" w:eastAsia="zh-CN"/>
              </w:rPr>
              <w:t>30</w:t>
            </w:r>
            <w:r>
              <w:rPr>
                <w:rFonts w:hint="eastAsia" w:ascii="Times New Roman" w:hAnsi="Times New Roman" w:cs="Times New Roman"/>
                <w:color w:val="000000" w:themeColor="text1"/>
                <w:sz w:val="21"/>
                <w:szCs w:val="21"/>
              </w:rPr>
              <w:t>日由总经理主持就管理方针和目标，评价和审定管理体系运行的适宜性、充分性和有效性进</w:t>
            </w:r>
            <w:r>
              <w:rPr>
                <w:rFonts w:hint="eastAsia"/>
                <w:color w:val="000000" w:themeColor="text1"/>
                <w:sz w:val="21"/>
                <w:szCs w:val="21"/>
              </w:rPr>
              <w:t>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了解管理评审输入是否充分</w:t>
            </w:r>
            <w:r>
              <w:rPr>
                <w:rFonts w:ascii="宋体" w:hAnsi="宋体"/>
                <w:b/>
                <w:color w:val="000000" w:themeColor="text1"/>
                <w:sz w:val="21"/>
                <w:szCs w:val="21"/>
              </w:rPr>
              <w:t xml:space="preserve">; </w:t>
            </w:r>
            <w:r>
              <w:rPr>
                <w:rFonts w:hint="eastAsia" w:ascii="宋体" w:hAnsi="宋体"/>
                <w:color w:val="000000" w:themeColor="text1"/>
                <w:kern w:val="0"/>
                <w:sz w:val="21"/>
                <w:szCs w:val="21"/>
              </w:rPr>
              <w:t>提供主要输入材料有：各部门总结，</w:t>
            </w:r>
            <w:r>
              <w:rPr>
                <w:rFonts w:hint="eastAsia" w:ascii="宋体"/>
                <w:color w:val="000000" w:themeColor="text1"/>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themeColor="text1"/>
                <w:sz w:val="21"/>
                <w:szCs w:val="21"/>
              </w:rPr>
              <w:t>了解管理评审结论</w:t>
            </w:r>
            <w:r>
              <w:rPr>
                <w:rFonts w:ascii="宋体" w:hAnsi="宋体"/>
                <w:b/>
                <w:color w:val="000000" w:themeColor="text1"/>
                <w:sz w:val="21"/>
                <w:szCs w:val="21"/>
              </w:rPr>
              <w:t xml:space="preserve">; </w:t>
            </w:r>
            <w:r>
              <w:rPr>
                <w:rFonts w:hint="eastAsia"/>
                <w:color w:val="000000" w:themeColor="text1"/>
                <w:sz w:val="21"/>
                <w:szCs w:val="21"/>
              </w:rPr>
              <w:t>本公司的管理体系与标准的要求一致，体系策划是充分的，体系文件与公司目前的现状相一致，是适宜，体系经过现阶段的运行是有效的。</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vAlign w:val="top"/>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rPr>
          <w:rFonts w:ascii="宋体" w:hAnsi="宋体"/>
          <w:szCs w:val="21"/>
        </w:rPr>
      </w:pPr>
      <w:r>
        <w:rPr>
          <w:rFonts w:ascii="宋体" w:hAnsi="宋体"/>
          <w:b/>
          <w:color w:val="000000"/>
          <w:sz w:val="20"/>
        </w:rPr>
        <w:t>QMS:</w:t>
      </w:r>
      <w:r>
        <w:rPr>
          <w:rFonts w:hint="eastAsia" w:ascii="宋体" w:hAnsi="宋体"/>
          <w:szCs w:val="21"/>
          <w:lang w:eastAsia="zh-CN"/>
        </w:rPr>
        <w:t>系统集成</w:t>
      </w:r>
      <w:r>
        <w:rPr>
          <w:rFonts w:hint="eastAsia" w:ascii="宋体" w:hAnsi="宋体"/>
          <w:szCs w:val="21"/>
        </w:rPr>
        <w:t>。</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lang w:eastAsia="zh-CN"/>
        </w:rPr>
        <w:t>系统集成</w:t>
      </w:r>
      <w:r>
        <w:rPr>
          <w:rFonts w:hint="eastAsia" w:ascii="宋体" w:hAnsi="宋体"/>
          <w:szCs w:val="21"/>
        </w:rPr>
        <w:t>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lang w:eastAsia="zh-CN"/>
        </w:rPr>
        <w:t>系统集成</w:t>
      </w:r>
      <w:r>
        <w:rPr>
          <w:rFonts w:hint="eastAsia" w:ascii="宋体" w:hAnsi="宋体"/>
          <w:szCs w:val="21"/>
        </w:rPr>
        <w:t>所涉及场所的相关职业健康安全管理活动 。</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59264" behindDoc="0" locked="0" layoutInCell="1" allowOverlap="1">
            <wp:simplePos x="0" y="0"/>
            <wp:positionH relativeFrom="column">
              <wp:posOffset>1864995</wp:posOffset>
            </wp:positionH>
            <wp:positionV relativeFrom="paragraph">
              <wp:posOffset>281940</wp:posOffset>
            </wp:positionV>
            <wp:extent cx="668020" cy="417830"/>
            <wp:effectExtent l="0" t="0" r="2540" b="889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68020" cy="41783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lang w:eastAsia="zh-CN"/>
        </w:rPr>
        <w:drawing>
          <wp:anchor distT="0" distB="0" distL="114300" distR="114300" simplePos="0" relativeHeight="251678720" behindDoc="0" locked="0" layoutInCell="1" allowOverlap="1">
            <wp:simplePos x="0" y="0"/>
            <wp:positionH relativeFrom="column">
              <wp:posOffset>2785745</wp:posOffset>
            </wp:positionH>
            <wp:positionV relativeFrom="paragraph">
              <wp:posOffset>111760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70528" behindDoc="1" locked="0" layoutInCell="1" allowOverlap="1">
            <wp:simplePos x="0" y="0"/>
            <wp:positionH relativeFrom="column">
              <wp:posOffset>1854200</wp:posOffset>
            </wp:positionH>
            <wp:positionV relativeFrom="paragraph">
              <wp:posOffset>60960</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8"/>
                    <a:stretch>
                      <a:fillRect/>
                    </a:stretch>
                  </pic:blipFill>
                  <pic:spPr>
                    <a:xfrm>
                      <a:off x="0" y="0"/>
                      <a:ext cx="812800" cy="2794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2021年3月6日</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1"/>
          <w:szCs w:val="21"/>
        </w:rPr>
        <w:t>成都市融盛智能科技有限公司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spacing w:line="400" w:lineRule="exact"/>
              <w:rPr>
                <w:rFonts w:ascii="宋体" w:hAnsi="宋体"/>
                <w:szCs w:val="21"/>
                <w:highlight w:val="none"/>
              </w:rPr>
            </w:pPr>
            <w:r>
              <w:rPr>
                <w:rFonts w:hint="eastAsia" w:ascii="宋体" w:hAnsi="宋体" w:cs="Times New Roman"/>
                <w:szCs w:val="21"/>
                <w:highlight w:val="none"/>
                <w:lang w:val="en-US" w:eastAsia="zh-CN"/>
              </w:rPr>
              <w:t>查在用</w:t>
            </w:r>
            <w:r>
              <w:rPr>
                <w:rFonts w:hint="eastAsia"/>
                <w:lang w:eastAsia="zh-CN"/>
              </w:rPr>
              <w:t>万用表、钢卷尺、网线测线仪</w:t>
            </w:r>
            <w:r>
              <w:rPr>
                <w:rFonts w:hint="eastAsia" w:ascii="宋体" w:hAnsi="宋体" w:eastAsia="宋体" w:cs="Times New Roman"/>
                <w:szCs w:val="21"/>
                <w:highlight w:val="none"/>
                <w:lang w:val="en-US" w:eastAsia="zh-CN"/>
              </w:rPr>
              <w:t>的检定或校准证书</w:t>
            </w:r>
            <w:r>
              <w:rPr>
                <w:rFonts w:hint="eastAsia" w:ascii="宋体" w:hAnsi="宋体"/>
                <w:szCs w:val="21"/>
                <w:highlight w:val="none"/>
              </w:rPr>
              <w:t>，</w:t>
            </w:r>
            <w:r>
              <w:rPr>
                <w:rFonts w:hint="eastAsia" w:ascii="宋体" w:hAnsi="宋体"/>
                <w:szCs w:val="21"/>
                <w:highlight w:val="none"/>
                <w:lang w:val="en-US" w:eastAsia="zh-CN"/>
              </w:rPr>
              <w:t>未提供</w:t>
            </w:r>
            <w:r>
              <w:rPr>
                <w:rFonts w:hint="eastAsia" w:ascii="宋体" w:hAnsi="宋体"/>
                <w:szCs w:val="21"/>
                <w:highlight w:val="none"/>
              </w:rPr>
              <w:t>有效的校准或检定证书。</w:t>
            </w:r>
          </w:p>
          <w:p>
            <w:pPr>
              <w:pStyle w:val="5"/>
              <w:pBdr>
                <w:bottom w:val="none" w:color="auto" w:sz="0" w:space="0"/>
              </w:pBdr>
              <w:tabs>
                <w:tab w:val="center" w:pos="5737"/>
                <w:tab w:val="clear" w:pos="4153"/>
              </w:tabs>
              <w:jc w:val="both"/>
              <w:rPr>
                <w:rFonts w:hint="eastAsia" w:eastAsia="宋体"/>
                <w:color w:val="000000"/>
                <w:sz w:val="24"/>
                <w:szCs w:val="24"/>
                <w:lang w:val="en-US" w:eastAsia="zh-CN"/>
              </w:rPr>
            </w:pPr>
          </w:p>
        </w:tc>
        <w:tc>
          <w:tcPr>
            <w:tcW w:w="1688" w:type="dxa"/>
            <w:vAlign w:val="center"/>
          </w:tcPr>
          <w:p>
            <w:pPr>
              <w:pStyle w:val="5"/>
              <w:pBdr>
                <w:bottom w:val="none" w:color="auto" w:sz="0" w:space="0"/>
              </w:pBdr>
              <w:ind w:right="600" w:rightChars="0"/>
              <w:jc w:val="both"/>
              <w:rPr>
                <w:color w:val="000000"/>
                <w:sz w:val="32"/>
                <w:szCs w:val="32"/>
              </w:rPr>
            </w:pPr>
            <w:r>
              <w:rPr>
                <w:rFonts w:hint="eastAsia" w:ascii="宋体" w:hAnsi="宋体"/>
                <w:snapToGrid w:val="0"/>
                <w:color w:val="000000"/>
                <w:kern w:val="0"/>
                <w:sz w:val="21"/>
                <w:szCs w:val="21"/>
                <w:highlight w:val="none"/>
              </w:rPr>
              <w:t>GB/T19001-2016/ISO9001:2015</w:t>
            </w:r>
          </w:p>
        </w:tc>
        <w:tc>
          <w:tcPr>
            <w:tcW w:w="1811" w:type="dxa"/>
            <w:vAlign w:val="center"/>
          </w:tcPr>
          <w:p>
            <w:pPr>
              <w:pStyle w:val="5"/>
              <w:pBdr>
                <w:bottom w:val="none" w:color="auto" w:sz="0" w:space="0"/>
              </w:pBdr>
              <w:ind w:right="600" w:rightChars="0"/>
              <w:jc w:val="both"/>
              <w:rPr>
                <w:color w:val="000000"/>
                <w:sz w:val="32"/>
                <w:szCs w:val="32"/>
              </w:rPr>
            </w:pPr>
            <w:r>
              <w:rPr>
                <w:rFonts w:hint="eastAsia" w:ascii="宋体" w:hAnsi="宋体" w:eastAsia="宋体" w:cs="宋体"/>
                <w:color w:val="000000"/>
                <w:sz w:val="24"/>
                <w:szCs w:val="24"/>
                <w:highlight w:val="none"/>
                <w:lang w:val="en-US" w:eastAsia="zh-CN"/>
              </w:rPr>
              <w:t>Q7.1.5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80768" behindDoc="0" locked="0" layoutInCell="1" allowOverlap="1">
                  <wp:simplePos x="0" y="0"/>
                  <wp:positionH relativeFrom="column">
                    <wp:posOffset>499110</wp:posOffset>
                  </wp:positionH>
                  <wp:positionV relativeFrom="paragraph">
                    <wp:posOffset>130810</wp:posOffset>
                  </wp:positionV>
                  <wp:extent cx="640080" cy="400685"/>
                  <wp:effectExtent l="0" t="0" r="0" b="1079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640080" cy="400685"/>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2650" w:firstLineChars="12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 xml:space="preserve"> 3</w:t>
            </w:r>
            <w:r>
              <w:rPr>
                <w:rFonts w:hint="eastAsia"/>
                <w:b/>
                <w:color w:val="000000"/>
                <w:sz w:val="22"/>
                <w:szCs w:val="22"/>
              </w:rPr>
              <w:t xml:space="preserve">月 </w:t>
            </w:r>
            <w:r>
              <w:rPr>
                <w:rFonts w:hint="eastAsia"/>
                <w:b/>
                <w:color w:val="000000"/>
                <w:sz w:val="22"/>
                <w:szCs w:val="22"/>
                <w:lang w:val="en-US" w:eastAsia="zh-CN"/>
              </w:rPr>
              <w:t>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 xml:space="preserve"> 3</w:t>
            </w:r>
            <w:r>
              <w:rPr>
                <w:rFonts w:hint="eastAsia"/>
                <w:b/>
                <w:color w:val="000000"/>
                <w:sz w:val="22"/>
                <w:szCs w:val="22"/>
              </w:rPr>
              <w:t xml:space="preserve">月 </w:t>
            </w:r>
            <w:r>
              <w:rPr>
                <w:rFonts w:hint="eastAsia"/>
                <w:b/>
                <w:color w:val="000000"/>
                <w:sz w:val="22"/>
                <w:szCs w:val="22"/>
                <w:lang w:val="en-US" w:eastAsia="zh-CN"/>
              </w:rPr>
              <w:t>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704320" behindDoc="0" locked="0" layoutInCell="1" allowOverlap="1">
                  <wp:simplePos x="0" y="0"/>
                  <wp:positionH relativeFrom="column">
                    <wp:posOffset>632460</wp:posOffset>
                  </wp:positionH>
                  <wp:positionV relativeFrom="paragraph">
                    <wp:posOffset>226060</wp:posOffset>
                  </wp:positionV>
                  <wp:extent cx="638810" cy="400050"/>
                  <wp:effectExtent l="0" t="0" r="1270" b="1143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638810" cy="40005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 xml:space="preserve"> 3</w:t>
            </w:r>
            <w:r>
              <w:rPr>
                <w:rFonts w:hint="eastAsia"/>
                <w:b/>
                <w:color w:val="000000"/>
                <w:sz w:val="22"/>
                <w:szCs w:val="22"/>
              </w:rPr>
              <w:t xml:space="preserve">月 </w:t>
            </w:r>
            <w:r>
              <w:rPr>
                <w:rFonts w:hint="eastAsia"/>
                <w:b/>
                <w:color w:val="000000"/>
                <w:sz w:val="22"/>
                <w:szCs w:val="22"/>
                <w:lang w:val="en-US" w:eastAsia="zh-CN"/>
              </w:rPr>
              <w:t>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7A3597"/>
    <w:rsid w:val="0FFF2845"/>
    <w:rsid w:val="2F6670BA"/>
    <w:rsid w:val="6C5F2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2021-03-11T14:14:55Z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