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受审核部门：管理层、</w:t>
      </w:r>
      <w:r>
        <w:rPr>
          <w:rFonts w:hint="eastAsia"/>
          <w:sz w:val="24"/>
          <w:szCs w:val="24"/>
          <w:lang w:eastAsia="zh-CN"/>
        </w:rPr>
        <w:t>行政部（</w:t>
      </w:r>
      <w:r>
        <w:rPr>
          <w:rFonts w:hint="eastAsia"/>
          <w:sz w:val="24"/>
          <w:szCs w:val="24"/>
          <w:lang w:val="en-US" w:eastAsia="zh-CN"/>
        </w:rPr>
        <w:t>含财务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 xml:space="preserve">项目实施部、市场部    </w:t>
      </w:r>
    </w:p>
    <w:p>
      <w:pPr>
        <w:spacing w:line="480" w:lineRule="exact"/>
        <w:jc w:val="left"/>
        <w:rPr>
          <w:rFonts w:hint="eastAsia" w:ascii="隶书" w:hAnsi="宋体" w:eastAsia="宋体"/>
          <w:bCs/>
          <w:color w:val="000000"/>
          <w:sz w:val="36"/>
          <w:szCs w:val="36"/>
          <w:lang w:eastAsia="zh-CN"/>
        </w:rPr>
      </w:pPr>
      <w:r>
        <w:rPr>
          <w:rFonts w:hint="eastAsia"/>
          <w:sz w:val="24"/>
          <w:szCs w:val="24"/>
        </w:rPr>
        <w:t>陪同人员：卢桂群、彭俊松</w:t>
      </w:r>
      <w:r>
        <w:rPr>
          <w:rFonts w:hint="eastAsia"/>
          <w:sz w:val="24"/>
          <w:szCs w:val="24"/>
          <w:lang w:val="en-US" w:eastAsia="zh-CN"/>
        </w:rPr>
        <w:t xml:space="preserve"> ，  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lang w:val="en-US" w:eastAsia="zh-CN"/>
        </w:rPr>
        <w:t>杨珍全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宋明珠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余家龙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审核时间：202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日</w:t>
      </w:r>
    </w:p>
    <w:tbl>
      <w:tblPr>
        <w:tblStyle w:val="9"/>
        <w:tblW w:w="1512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625"/>
        <w:gridCol w:w="1004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1436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ind w:firstLine="4560" w:firstLineChars="1900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宋明珠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625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1004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EMS审核，询问有无以下场所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锅炉房、配电室、实验室、化学品库、污水处理站、食堂、宿舍、空压机房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25" w:type="dxa"/>
          </w:tcPr>
          <w:p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成都市融盛智能科技有限公司是专业从事工业设备自动控制，现场监控，计算机网络，景区智能管理、监控、电子门票管理系统，建筑智能化系统集成，消防报警及设施智能控制等工程的高科技企业。现有员工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人，目前经营情况良好。</w:t>
            </w:r>
          </w:p>
          <w:p>
            <w:pPr>
              <w:pStyle w:val="15"/>
              <w:rPr>
                <w:rFonts w:hint="eastAsia"/>
              </w:rPr>
            </w:pPr>
          </w:p>
          <w:p>
            <w:pPr>
              <w:spacing w:line="0" w:lineRule="atLeas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查见企业营业执照副本，企业经营范围包含认证产品，具备有效资格，详见复印件。</w:t>
            </w:r>
          </w:p>
          <w:p>
            <w:pPr>
              <w:pStyle w:val="15"/>
              <w:rPr>
                <w:rFonts w:hint="eastAsia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该公司目前成立了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szCs w:val="21"/>
              </w:rPr>
              <w:t>个部门：</w:t>
            </w:r>
            <w:r>
              <w:rPr>
                <w:rFonts w:hint="eastAsia" w:ascii="宋体" w:hAnsi="宋体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eastAsia="zh-CN"/>
              </w:rPr>
              <w:t>项目实施部、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市场部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240" w:lineRule="atLeast"/>
              <w:ind w:left="630" w:leftChars="200" w:hanging="210" w:hanging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核实：</w:t>
            </w:r>
            <w:r>
              <w:rPr>
                <w:rFonts w:hint="eastAsia"/>
                <w:color w:val="000000"/>
                <w:szCs w:val="21"/>
                <w:lang w:val="de-DE"/>
              </w:rPr>
              <w:t>生产经营地址：</w:t>
            </w:r>
            <w:bookmarkStart w:id="0" w:name="生产地址"/>
            <w:r>
              <w:t>成都市武侯区科华北路36号605</w:t>
            </w:r>
            <w:bookmarkEnd w:id="0"/>
            <w:r>
              <w:rPr>
                <w:rFonts w:hint="eastAsia"/>
                <w:color w:val="000000"/>
                <w:szCs w:val="21"/>
                <w:lang w:val="de-DE"/>
              </w:rPr>
              <w:t>，与</w:t>
            </w:r>
            <w:r>
              <w:rPr>
                <w:rFonts w:hint="eastAsia" w:ascii="宋体" w:hAnsi="宋体"/>
                <w:szCs w:val="21"/>
              </w:rPr>
              <w:t>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经确认，认证范围为</w:t>
            </w: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QMS:</w:t>
            </w:r>
            <w:r>
              <w:rPr>
                <w:rFonts w:hint="eastAsia" w:ascii="宋体" w:hAnsi="宋体"/>
                <w:szCs w:val="21"/>
                <w:lang w:eastAsia="zh-CN"/>
              </w:rPr>
              <w:t>系统集成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rPr>
                <w:rFonts w:asci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EMS</w:t>
            </w:r>
            <w:r>
              <w:rPr>
                <w:rFonts w:ascii="宋体" w:hAnsi="宋体"/>
                <w:b/>
                <w:color w:val="000000"/>
                <w:sz w:val="20"/>
                <w:lang w:val="en-GB"/>
              </w:rPr>
              <w:t>:</w:t>
            </w:r>
            <w:r>
              <w:rPr>
                <w:rFonts w:hint="eastAsia" w:ascii="宋体" w:hAnsi="宋体"/>
                <w:szCs w:val="21"/>
                <w:lang w:eastAsia="zh-CN"/>
              </w:rPr>
              <w:t>系统集成</w:t>
            </w:r>
            <w:r>
              <w:rPr>
                <w:rFonts w:hint="eastAsia" w:ascii="宋体" w:hAnsi="宋体"/>
                <w:szCs w:val="21"/>
              </w:rPr>
              <w:t>所涉及场所的相关环境管理活动。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OHSMS</w:t>
            </w:r>
            <w:r>
              <w:rPr>
                <w:rFonts w:ascii="宋体" w:hAnsi="宋体"/>
                <w:b/>
                <w:color w:val="000000"/>
                <w:sz w:val="20"/>
                <w:lang w:val="en-GB"/>
              </w:rPr>
              <w:t>:</w:t>
            </w:r>
            <w:r>
              <w:rPr>
                <w:rFonts w:hint="eastAsia" w:ascii="宋体" w:hAnsi="宋体"/>
                <w:szCs w:val="21"/>
                <w:lang w:eastAsia="zh-CN"/>
              </w:rPr>
              <w:t>系统集成</w:t>
            </w:r>
            <w:r>
              <w:rPr>
                <w:rFonts w:hint="eastAsia" w:ascii="宋体" w:hAnsi="宋体"/>
                <w:szCs w:val="21"/>
              </w:rPr>
              <w:t>所涉及场所的相关职业健康安全管理活动 。</w:t>
            </w:r>
          </w:p>
          <w:p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询问，主要设备为高空作业伸臂式举升车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工程车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发电机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载货汽车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巡查车辆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随车吊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振捣器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冲击电钻等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/确认</w:t>
            </w:r>
            <w:r>
              <w:rPr>
                <w:rFonts w:hint="eastAsia" w:ascii="宋体" w:hAnsi="宋体"/>
                <w:szCs w:val="21"/>
              </w:rPr>
              <w:t>过程：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设计、隐蔽</w:t>
            </w:r>
            <w:r>
              <w:rPr>
                <w:rFonts w:hint="eastAsia" w:ascii="宋体" w:hAnsi="宋体"/>
                <w:szCs w:val="21"/>
              </w:rPr>
              <w:t>过程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也是特殊过程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查体系运行时间：20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Cs w:val="21"/>
              </w:rPr>
              <w:t>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组织实际与管理体系文件化信息描述基本一致。有管理层、</w:t>
            </w:r>
            <w:r>
              <w:rPr>
                <w:rFonts w:hint="eastAsia" w:ascii="宋体" w:hAnsi="宋体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市场部、</w:t>
            </w:r>
            <w:r>
              <w:rPr>
                <w:rFonts w:hint="eastAsia" w:ascii="宋体" w:hAnsi="宋体"/>
                <w:szCs w:val="21"/>
                <w:lang w:eastAsia="zh-CN"/>
              </w:rPr>
              <w:t>项目实施部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产品流程见《作业流程》</w:t>
            </w:r>
          </w:p>
          <w:p>
            <w:pPr>
              <w:spacing w:line="440" w:lineRule="exact"/>
              <w:rPr>
                <w:rFonts w:ascii="宋体" w:hAnsi="宋体"/>
                <w:kern w:val="44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查，</w:t>
            </w:r>
            <w:r>
              <w:rPr>
                <w:rFonts w:hint="eastAsia" w:ascii="宋体" w:hAnsi="宋体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hint="eastAsia" w:ascii="宋体" w:hAnsi="宋体"/>
                <w:kern w:val="44"/>
                <w:szCs w:val="21"/>
              </w:rPr>
              <w:t>，程序文件</w:t>
            </w:r>
            <w:r>
              <w:rPr>
                <w:rFonts w:hint="eastAsia" w:ascii="宋体" w:hAnsi="宋体"/>
                <w:kern w:val="44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/>
                <w:kern w:val="44"/>
                <w:szCs w:val="21"/>
              </w:rPr>
              <w:t>个。</w:t>
            </w:r>
          </w:p>
        </w:tc>
        <w:tc>
          <w:tcPr>
            <w:tcW w:w="1004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4.1;4.2;4.3;4.4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25" w:type="dxa"/>
          </w:tcPr>
          <w:p>
            <w:pPr>
              <w:spacing w:line="276" w:lineRule="auto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质量方针：</w:t>
            </w:r>
          </w:p>
          <w:p>
            <w:pPr>
              <w:spacing w:line="276" w:lineRule="auto"/>
              <w:ind w:firstLine="420" w:firstLineChars="200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精益求精 创“融盛智能”新优势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”。</w:t>
            </w:r>
          </w:p>
          <w:p>
            <w:pPr>
              <w:pStyle w:val="5"/>
              <w:rPr>
                <w:rFonts w:hint="eastAsia"/>
              </w:rPr>
            </w:pPr>
            <w:r>
              <w:rPr>
                <w:rFonts w:hint="eastAsia"/>
              </w:rPr>
              <w:t>环境方针： </w:t>
            </w:r>
          </w:p>
          <w:p>
            <w:pPr>
              <w:pStyle w:val="5"/>
              <w:ind w:firstLine="630" w:firstLineChars="30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“</w:t>
            </w:r>
            <w:r>
              <w:rPr>
                <w:rFonts w:hint="eastAsia"/>
              </w:rPr>
              <w:t>坚持走可持续发展之路，倡导绿色环保思想，遵守法律法规，从产品安装到服务的全过程中，实行污染预防和持续改进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</w:rPr>
              <w:t>。</w:t>
            </w:r>
          </w:p>
          <w:p>
            <w:pPr>
              <w:pStyle w:val="15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bookmarkStart w:id="1" w:name="_GoBack"/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职业健康安全管理方针：</w:t>
            </w:r>
          </w:p>
          <w:p>
            <w:pPr>
              <w:pStyle w:val="1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 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 “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保障健康、安全安装、以人为本、永续发展、遵守法规、持续改进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”。</w:t>
            </w:r>
          </w:p>
          <w:bookmarkEnd w:id="1"/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质量、环境、职业健康安全目标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1) 工程交付合格率100％； 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2) 顾客满意率≥96分； 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3） 合同按时完成率100%；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4) 废弃物分类收集处理率100%；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5) 职业病发生率为0；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6) 重大安全事故和伤亡事故为0；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7) 火灾事故为0。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8） 环境扰民投诉为0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拟定有管理方案和预案。</w:t>
            </w:r>
          </w:p>
        </w:tc>
        <w:tc>
          <w:tcPr>
            <w:tcW w:w="1004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5.1;6.2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</w:tbl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br w:type="page"/>
      </w: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510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636"/>
        <w:gridCol w:w="982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1414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宋明珠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636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982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796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36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内审时间：20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-17日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内审组：卢桂群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（组长）、彭俊松（组员）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见有：《内审不符合项报告》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份，涉及</w:t>
            </w:r>
            <w:r>
              <w:rPr>
                <w:rFonts w:hint="eastAsia" w:ascii="宋体" w:hAnsi="宋体"/>
                <w:szCs w:val="21"/>
                <w:lang w:eastAsia="zh-CN"/>
              </w:rPr>
              <w:t>项目实施部</w:t>
            </w:r>
            <w:r>
              <w:rPr>
                <w:rFonts w:hint="eastAsia" w:ascii="宋体" w:hAnsi="宋体"/>
                <w:szCs w:val="21"/>
              </w:rPr>
              <w:t>E/S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8.2</w:t>
            </w:r>
            <w:r>
              <w:rPr>
                <w:rFonts w:hint="eastAsia" w:ascii="宋体" w:hAnsi="宋体"/>
                <w:szCs w:val="21"/>
              </w:rPr>
              <w:t>条款未看到2020年突发事件的应急演练记录。针对该不符合项，已及时采取纠正措施后，经内审员验证关闭。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有《内部审核报告》，有审核结论。</w:t>
            </w:r>
          </w:p>
        </w:tc>
        <w:tc>
          <w:tcPr>
            <w:tcW w:w="982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9.2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36" w:type="dxa"/>
            <w:vAlign w:val="top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管理评审于20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Cs w:val="21"/>
              </w:rPr>
              <w:t>日由总经</w:t>
            </w:r>
            <w:r>
              <w:rPr>
                <w:rFonts w:hint="eastAsia" w:ascii="宋体" w:hAnsi="宋体"/>
                <w:sz w:val="21"/>
                <w:szCs w:val="21"/>
              </w:rPr>
              <w:t>理</w:t>
            </w:r>
            <w:r>
              <w:rPr>
                <w:rFonts w:hint="eastAsia" w:ascii="宋体" w:hAnsi="宋体"/>
                <w:szCs w:val="21"/>
              </w:rPr>
              <w:t>陈朝</w:t>
            </w:r>
            <w:r>
              <w:rPr>
                <w:rFonts w:hint="eastAsia" w:ascii="宋体" w:hAnsi="宋体"/>
                <w:sz w:val="21"/>
                <w:szCs w:val="21"/>
              </w:rPr>
              <w:t>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spacing w:line="460" w:lineRule="exact"/>
              <w:ind w:firstLine="420" w:firstLineChars="200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提出以下改进内容：加强质量、环境、职业健康安全的继续学习和理解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spacing w:line="460" w:lineRule="exact"/>
              <w:rPr>
                <w:rFonts w:ascii="宋体" w:hAnsi="宋体"/>
                <w:kern w:val="0"/>
                <w:szCs w:val="21"/>
                <w:u w:val="single"/>
              </w:rPr>
            </w:pPr>
          </w:p>
        </w:tc>
        <w:tc>
          <w:tcPr>
            <w:tcW w:w="982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9.3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r>
        <w:rPr>
          <w:rFonts w:hint="eastAsia"/>
        </w:rPr>
        <w:t>说明：不符合标注N</w:t>
      </w:r>
    </w:p>
    <w:p/>
    <w:p>
      <w:pPr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510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636"/>
        <w:gridCol w:w="982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1414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636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982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796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相关法规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环评报告及环评验收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安评报告及安评验收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执行的产品标准（QMS）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pStyle w:val="5"/>
              <w:rPr>
                <w:szCs w:val="21"/>
                <w:highlight w:val="none"/>
              </w:rPr>
            </w:pPr>
          </w:p>
          <w:p>
            <w:pPr>
              <w:pStyle w:val="5"/>
              <w:rPr>
                <w:szCs w:val="21"/>
                <w:highlight w:val="none"/>
              </w:rPr>
            </w:pPr>
          </w:p>
          <w:p>
            <w:pPr>
              <w:pStyle w:val="5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执行的排污标准（EMS）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执行的安全法规（OHSMS）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合规性评价报告 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环境相关监测报告（EMS）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职业健康相关监测报告（OHSMS）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产品质量监督抽查情况（QMS）</w:t>
            </w:r>
          </w:p>
        </w:tc>
        <w:tc>
          <w:tcPr>
            <w:tcW w:w="9636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中华人民共和国合同法、中华人民共和国劳动法、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、中华人民共和国消费者权益保护法</w:t>
            </w:r>
            <w:r>
              <w:rPr>
                <w:rFonts w:hint="eastAsia" w:ascii="宋体" w:hAnsi="宋体"/>
                <w:szCs w:val="21"/>
              </w:rPr>
              <w:t>等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不适用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不适用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G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B/T 20273-2006信息安全技术 数据库管理系统安全技术要求、GB/T 20009-2005 信息安全技术 数据库管理系统安全评估准则、YD/T 2405-2012   互联网数据中心和互联网接入服务信息安全管理系统接口规范、YD/T 2248-2012  互联网数据中心和互联网接入服务信息安全管理系统技术要求GB/T 9386-1988 计算机软件测试文件编制规范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 8566-2007《信息技术 软件生存周期过程》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 16680-2015《系统与软件工程 用户文档的管理者要求》等标准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  <w:p>
            <w:pPr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污水排入城镇下水道水质标准（</w:t>
            </w:r>
            <w:r>
              <w:rPr>
                <w:rFonts w:ascii="宋体" w:hAnsi="宋体"/>
                <w:szCs w:val="21"/>
                <w:highlight w:val="none"/>
              </w:rPr>
              <w:t>GB/T 31962-2015</w:t>
            </w:r>
            <w:r>
              <w:rPr>
                <w:rFonts w:hint="eastAsia" w:ascii="宋体" w:hAnsi="宋体"/>
                <w:szCs w:val="21"/>
                <w:highlight w:val="none"/>
              </w:rPr>
              <w:t>）</w:t>
            </w:r>
          </w:p>
          <w:p>
            <w:pPr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中华人民共和国安全消防法、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中华人民共和国劳动合同法、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中华人民共和国安全生产法等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20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szCs w:val="21"/>
                <w:highlight w:val="none"/>
              </w:rPr>
              <w:t>年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/>
                <w:szCs w:val="21"/>
                <w:highlight w:val="none"/>
              </w:rPr>
              <w:t>月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eastAsia"/>
                <w:szCs w:val="21"/>
                <w:highlight w:val="none"/>
              </w:rPr>
              <w:t>日进行了合规性评价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无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无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无质量监督抽查。</w:t>
            </w:r>
          </w:p>
        </w:tc>
        <w:tc>
          <w:tcPr>
            <w:tcW w:w="982" w:type="dxa"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Q/E/S:6.1.3、9.1.2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6" w:type="dxa"/>
            <w:vAlign w:val="top"/>
          </w:tcPr>
          <w:p>
            <w:pPr>
              <w:spacing w:line="400" w:lineRule="exact"/>
            </w:pPr>
            <w:r>
              <w:rPr>
                <w:rFonts w:hint="eastAsia"/>
              </w:rPr>
              <w:t>符合</w:t>
            </w: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rPr>
                <w:lang w:val="en-US" w:eastAsia="zh-CN"/>
              </w:rPr>
            </w:pPr>
          </w:p>
          <w:p>
            <w:pPr>
              <w:pStyle w:val="5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工艺流程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不适用条款的确认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外包的识别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重要环境因素（EMS）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不可接受风险（OHSMS）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应急管理</w:t>
            </w:r>
          </w:p>
        </w:tc>
        <w:tc>
          <w:tcPr>
            <w:tcW w:w="9636" w:type="dxa"/>
            <w:vAlign w:val="top"/>
          </w:tcPr>
          <w:p>
            <w:pPr>
              <w:snapToGrid w:val="0"/>
              <w:spacing w:line="28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系统集成工艺流程：</w:t>
            </w:r>
          </w:p>
          <w:p>
            <w:pPr>
              <w:snapToGrid w:val="0"/>
              <w:spacing w:line="28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需求确认→</w:t>
            </w:r>
            <w:r>
              <w:rPr>
                <w:rFonts w:hint="eastAsia"/>
                <w:highlight w:val="none"/>
              </w:rPr>
              <w:t>确定方案→合同签订→采购→安装调试→项目验收→交付</w:t>
            </w:r>
            <w:r>
              <w:rPr>
                <w:rFonts w:hint="eastAsia"/>
                <w:highlight w:val="none"/>
                <w:lang w:eastAsia="zh-CN"/>
              </w:rPr>
              <w:t>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需确认过程：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设计、隐蔽过程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无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固体废弃物的排放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潜在火灾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噪声的排放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触电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潜在火灾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机械伤害</w:t>
            </w:r>
            <w:r>
              <w:rPr>
                <w:rFonts w:hint="eastAsia" w:ascii="宋体" w:hAnsi="宋体"/>
                <w:color w:val="FF0000"/>
                <w:szCs w:val="21"/>
              </w:rPr>
              <w:t>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公司拟定有《火灾、触电应急预案》，</w:t>
            </w:r>
            <w:r>
              <w:rPr>
                <w:rFonts w:hint="eastAsia" w:ascii="宋体" w:hAnsi="宋体"/>
                <w:szCs w:val="21"/>
                <w:highlight w:val="none"/>
              </w:rPr>
              <w:t>20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11月9日进行了消防应急</w:t>
            </w:r>
            <w:r>
              <w:rPr>
                <w:rFonts w:hint="eastAsia" w:ascii="宋体" w:hAnsi="宋体"/>
                <w:szCs w:val="21"/>
                <w:highlight w:val="none"/>
              </w:rPr>
              <w:t>演习。</w:t>
            </w:r>
          </w:p>
        </w:tc>
        <w:tc>
          <w:tcPr>
            <w:tcW w:w="982" w:type="dxa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Q/E/S:8.1、8.2;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E/S;6.1.2;</w:t>
            </w: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796" w:type="dxa"/>
            <w:vAlign w:val="top"/>
          </w:tcPr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主要原材料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hint="eastAsia"/>
                <w:color w:val="000000"/>
                <w:highlight w:val="green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t>四川省锦江监狱示范监狱五个中心建设</w:t>
            </w:r>
            <w:r>
              <w:rPr>
                <w:rFonts w:hint="eastAsia"/>
                <w:highlight w:val="none"/>
                <w:lang w:eastAsia="zh-CN"/>
              </w:rPr>
              <w:t>项目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          </w:t>
            </w:r>
          </w:p>
          <w:p>
            <w:pPr>
              <w:spacing w:line="400" w:lineRule="exact"/>
            </w:pPr>
            <w:r>
              <w:rPr>
                <w:rFonts w:hint="eastAsia"/>
                <w:lang w:val="en-US" w:eastAsia="zh-CN"/>
              </w:rPr>
              <w:t>施工设备</w:t>
            </w:r>
            <w:r>
              <w:rPr>
                <w:rFonts w:hint="eastAsia" w:eastAsia="宋体"/>
                <w:lang w:eastAsia="zh-CN"/>
              </w:rPr>
              <w:t>、</w:t>
            </w:r>
            <w:r>
              <w:rPr>
                <w:rFonts w:hint="eastAsia"/>
              </w:rPr>
              <w:t>辅料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办公</w:t>
            </w:r>
            <w:r>
              <w:rPr>
                <w:rFonts w:hint="eastAsia"/>
                <w:lang w:val="en-US" w:eastAsia="zh-CN"/>
              </w:rPr>
              <w:t>设备及劳保</w:t>
            </w:r>
            <w:r>
              <w:rPr>
                <w:rFonts w:hint="eastAsia"/>
                <w:lang w:eastAsia="zh-CN"/>
              </w:rPr>
              <w:t>用品</w:t>
            </w:r>
            <w:r>
              <w:rPr>
                <w:rFonts w:hint="eastAsia"/>
              </w:rPr>
              <w:t>等。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79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特殊工种人员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  <w:highlight w:val="none"/>
              </w:rPr>
              <w:t>人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设计人员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无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Q/E/S:7.2</w:t>
            </w:r>
          </w:p>
        </w:tc>
        <w:tc>
          <w:tcPr>
            <w:tcW w:w="79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3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主要生产设备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特种设备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环保设施（EMS）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安全设施（OHSMS）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主要检测设备及设备的检定/校准（QMS）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环保监测设备（EMS）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安全监测设备（OHSMS）</w:t>
            </w:r>
          </w:p>
        </w:tc>
        <w:tc>
          <w:tcPr>
            <w:tcW w:w="9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吊</w:t>
            </w:r>
            <w:r>
              <w:rPr>
                <w:rFonts w:hint="eastAsia" w:ascii="宋体" w:hAnsi="宋体"/>
                <w:szCs w:val="21"/>
                <w:highlight w:val="none"/>
              </w:rPr>
              <w:t>车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（租赁）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挖掘机（租赁）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电锤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冲击电钻等。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消防栓、灭火器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配电箱、空开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/>
                <w:lang w:eastAsia="zh-CN"/>
              </w:rPr>
              <w:t>万用表、钢卷尺、网线测线仪。</w:t>
            </w:r>
            <w:r>
              <w:rPr>
                <w:rFonts w:hint="eastAsia"/>
                <w:lang w:val="en-US" w:eastAsia="zh-CN"/>
              </w:rPr>
              <w:t>未提供其有效的检定或校准证书。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Q/E/S:7.1</w:t>
            </w: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Q7.1.3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Q7.1.5</w:t>
            </w:r>
          </w:p>
        </w:tc>
        <w:tc>
          <w:tcPr>
            <w:tcW w:w="79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周边环境（EMS）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场区布局（一级风险）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排污口及排污管网（一级风险）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关注动力装置场所、危险化学品仓库、固废堆放场所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在写字楼内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82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顾客及相关方投诉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暂无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Q/E/S:10.2</w:t>
            </w:r>
          </w:p>
        </w:tc>
        <w:tc>
          <w:tcPr>
            <w:tcW w:w="79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9636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通过一阶段对受审核方的管理、办公现场巡视和观察，对管理体系绩效要求有重大影响的过程、活动、场所和现场运行进行观察、巡视及总体性评价，组织具备二阶段审核条件，可进行二阶段审核。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二阶段质量管理体系宜重点关注（合同评审、设计过程、安装过程、采购控制、销售服务等）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重点审核部门：项目实施部、行政部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重点审核过程：设计过程的控制，安装过程的控制、顾客满意；产品和服务放行、不合格产品控制等。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重点审核场所：办公场所、在建项目场所。</w:t>
            </w:r>
          </w:p>
        </w:tc>
        <w:tc>
          <w:tcPr>
            <w:tcW w:w="982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r>
        <w:rPr>
          <w:rFonts w:hint="eastAsia"/>
        </w:rPr>
        <w:t>说明：不符合标注N</w:t>
      </w:r>
    </w:p>
    <w:p/>
    <w:p>
      <w:pPr>
        <w:pStyle w:val="2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FA38E4"/>
    <w:rsid w:val="01843CB1"/>
    <w:rsid w:val="0C103F34"/>
    <w:rsid w:val="28C9349C"/>
    <w:rsid w:val="2CAD4A0D"/>
    <w:rsid w:val="365F0B89"/>
    <w:rsid w:val="3B166452"/>
    <w:rsid w:val="552640CF"/>
    <w:rsid w:val="5B3F1019"/>
    <w:rsid w:val="77AF0FA2"/>
    <w:rsid w:val="78892C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100" w:beforeAutospacing="1" w:after="100" w:afterAutospacing="1" w:line="360" w:lineRule="auto"/>
      <w:jc w:val="left"/>
      <w:outlineLvl w:val="0"/>
    </w:pPr>
    <w:rPr>
      <w:b/>
      <w:bCs/>
      <w:kern w:val="44"/>
      <w:sz w:val="28"/>
      <w:szCs w:val="44"/>
    </w:rPr>
  </w:style>
  <w:style w:type="paragraph" w:styleId="4">
    <w:name w:val="heading 3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b/>
      <w:bCs/>
      <w:kern w:val="0"/>
      <w:sz w:val="28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5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6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2021-03-11T08:01:17Z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