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left"/>
        <w:rPr>
          <w:rFonts w:ascii="楷体" w:hAnsi="楷体" w:eastAsia="楷体"/>
          <w:b/>
          <w:bCs/>
          <w:color w:val="000000" w:themeColor="text1"/>
          <w:sz w:val="24"/>
          <w:szCs w:val="24"/>
          <w:u w:val="none"/>
        </w:rPr>
      </w:pPr>
      <w:bookmarkStart w:id="0" w:name="合同编号"/>
      <w:r>
        <w:rPr>
          <w:rFonts w:hint="eastAsia"/>
          <w:b/>
          <w:bCs/>
          <w:sz w:val="24"/>
          <w:szCs w:val="24"/>
          <w:u w:val="none"/>
          <w:lang w:val="en-US" w:eastAsia="zh-CN"/>
        </w:rPr>
        <w:t>编号：</w:t>
      </w:r>
      <w:r>
        <w:rPr>
          <w:b/>
          <w:bCs/>
          <w:sz w:val="24"/>
          <w:szCs w:val="24"/>
          <w:u w:val="none"/>
        </w:rPr>
        <w:t>0150-2021-EO</w:t>
      </w:r>
      <w:bookmarkEnd w:id="0"/>
      <w:r>
        <w:rPr>
          <w:rFonts w:hint="eastAsia" w:ascii="宋体" w:hAnsi="宋体"/>
          <w:b/>
          <w:bCs/>
          <w:kern w:val="0"/>
          <w:sz w:val="24"/>
          <w:szCs w:val="24"/>
          <w:u w:val="none"/>
        </w:rPr>
        <w:t xml:space="preserve">  </w:t>
      </w: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重庆合韵物业管理有限公司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E:35.15.00</w:t>
            </w:r>
          </w:p>
          <w:p>
            <w:pPr>
              <w:spacing w:line="240" w:lineRule="exact"/>
              <w:jc w:val="center"/>
              <w:rPr>
                <w:b/>
                <w:color w:val="000000" w:themeColor="text1"/>
                <w:sz w:val="20"/>
                <w:szCs w:val="20"/>
              </w:rPr>
            </w:pPr>
            <w:r>
              <w:rPr>
                <w:b/>
                <w:color w:val="000000" w:themeColor="text1"/>
                <w:sz w:val="20"/>
                <w:szCs w:val="20"/>
              </w:rP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E：GB/T 24001-2016/ISO14001:2015,O：GB/T45001-2020 / ISO45001：2018</w:t>
      </w:r>
      <w:bookmarkEnd w:id="5"/>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重庆合韵物业管理有限公司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45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重庆市渝中区临江支路30号9-12号</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400010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重庆市渝北区龙溪街道新牌坊一路136号</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401147</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杨佐锡</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023-63139705</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吴娅萌</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吴娅萌</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杨佐锡</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E：物业管理服务所涉及场所的相关环境管理活动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O：物业管理服务所涉及场所的相关职业健康安全管理活动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E：35.15.00</w:t>
            </w:r>
          </w:p>
          <w:p>
            <w:pPr>
              <w:spacing w:line="320" w:lineRule="exact"/>
              <w:rPr>
                <w:rFonts w:ascii="宋体" w:hAnsi="宋体"/>
                <w:b/>
                <w:color w:val="000000" w:themeColor="text1"/>
                <w:sz w:val="20"/>
                <w:szCs w:val="20"/>
              </w:rPr>
            </w:pPr>
            <w:r>
              <w:rPr>
                <w:rFonts w:ascii="宋体" w:hAnsi="宋体"/>
                <w:b/>
                <w:color w:val="000000" w:themeColor="text1"/>
                <w:sz w:val="20"/>
                <w:szCs w:val="20"/>
              </w:rPr>
              <w:t>O：35.15.00</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cs="宋体" w:hAnsiTheme="minorHAnsi"/>
                <w:color w:val="000000" w:themeColor="text1"/>
                <w:kern w:val="0"/>
                <w:sz w:val="20"/>
                <w:szCs w:val="20"/>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2020-11-10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综合办公室</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方针、目标管理；文件、记录控制程；管理评审；内审管理；人员、部门职能职责和权限；风险识别评价管理；环境因素识别评价管理；纠正和预防措施控制；监视和测量设备管理；设备设施管理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物业管理处</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不合格品控制；合同管理；外部供方管理；产品验收管理；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b/>
                <w:color w:val="000000" w:themeColor="text1"/>
                <w:sz w:val="20"/>
                <w:szCs w:val="20"/>
                <w:lang w:val="en-US"/>
              </w:rPr>
            </w:pPr>
            <w:r>
              <w:rPr>
                <w:rFonts w:hint="eastAsia"/>
                <w:color w:val="000000"/>
                <w:lang w:val="en-US" w:eastAsia="zh-CN"/>
              </w:rPr>
              <w:t>韵叶花园小区物业管理项目</w:t>
            </w:r>
          </w:p>
        </w:tc>
        <w:tc>
          <w:tcPr>
            <w:tcW w:w="3249" w:type="dxa"/>
          </w:tcPr>
          <w:p>
            <w:pPr>
              <w:jc w:val="center"/>
              <w:rPr>
                <w:rFonts w:hint="default" w:ascii="宋体" w:hAnsi="宋体" w:eastAsia="宋体"/>
                <w:b/>
                <w:color w:val="000000" w:themeColor="text1"/>
                <w:spacing w:val="-20"/>
                <w:sz w:val="20"/>
                <w:szCs w:val="20"/>
                <w:u w:val="single"/>
                <w:lang w:val="en-US" w:eastAsia="zh-CN"/>
              </w:rPr>
            </w:pPr>
            <w:r>
              <w:rPr>
                <w:rFonts w:hint="eastAsia" w:ascii="宋体" w:hAnsi="宋体"/>
                <w:b/>
                <w:color w:val="000000" w:themeColor="text1"/>
                <w:spacing w:val="-20"/>
                <w:sz w:val="20"/>
                <w:szCs w:val="20"/>
                <w:u w:val="single"/>
                <w:lang w:val="en-US" w:eastAsia="zh-CN"/>
              </w:rPr>
              <w:t>清洁、保洁、绿化、秩序维护、工程维修</w:t>
            </w:r>
          </w:p>
        </w:tc>
        <w:tc>
          <w:tcPr>
            <w:tcW w:w="3555" w:type="dxa"/>
          </w:tcPr>
          <w:p>
            <w:pPr>
              <w:jc w:val="center"/>
              <w:rPr>
                <w:rFonts w:ascii="宋体" w:hAnsi="宋体"/>
                <w:b/>
                <w:color w:val="000000" w:themeColor="text1"/>
                <w:spacing w:val="-20"/>
                <w:sz w:val="20"/>
                <w:szCs w:val="20"/>
                <w:u w:val="single"/>
              </w:rPr>
            </w:pPr>
            <w:r>
              <w:rPr>
                <w:rFonts w:hint="eastAsia"/>
                <w:color w:val="000000"/>
                <w:lang w:val="en-US" w:eastAsia="zh-CN"/>
              </w:rPr>
              <w:t>渝北区龙溪街道新牌坊一路136号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eastAsia" w:eastAsia="宋体"/>
                <w:b/>
                <w:sz w:val="20"/>
                <w:szCs w:val="20"/>
                <w:lang w:eastAsia="zh-CN"/>
              </w:rPr>
            </w:pPr>
            <w:r>
              <w:rPr>
                <w:rFonts w:hint="eastAsia" w:ascii="宋体" w:hAnsi="宋体"/>
                <w:szCs w:val="21"/>
                <w:lang w:eastAsia="zh-CN"/>
              </w:rPr>
              <w:t>物业管理服务</w:t>
            </w:r>
          </w:p>
        </w:tc>
        <w:tc>
          <w:tcPr>
            <w:tcW w:w="2519" w:type="dxa"/>
          </w:tcPr>
          <w:p>
            <w:pPr>
              <w:rPr>
                <w:b/>
                <w:sz w:val="20"/>
                <w:szCs w:val="20"/>
              </w:rPr>
            </w:pPr>
            <w:r>
              <w:rPr>
                <w:rFonts w:hint="eastAsia"/>
                <w:b/>
                <w:sz w:val="20"/>
                <w:szCs w:val="20"/>
              </w:rPr>
              <w:t>服务</w:t>
            </w:r>
          </w:p>
        </w:tc>
        <w:tc>
          <w:tcPr>
            <w:tcW w:w="1843" w:type="dxa"/>
          </w:tcPr>
          <w:p>
            <w:pPr>
              <w:rPr>
                <w:b/>
                <w:sz w:val="20"/>
                <w:szCs w:val="20"/>
              </w:rPr>
            </w:pPr>
          </w:p>
        </w:tc>
        <w:tc>
          <w:tcPr>
            <w:tcW w:w="3543" w:type="dxa"/>
          </w:tcPr>
          <w:p>
            <w:pPr>
              <w:spacing w:line="400" w:lineRule="exact"/>
              <w:rPr>
                <w:rFonts w:ascii="Times New Roman" w:hAnsi="Times New Roman" w:cs="Times New Roman"/>
                <w:szCs w:val="21"/>
              </w:rPr>
            </w:pPr>
            <w:r>
              <w:rPr>
                <w:rFonts w:hint="eastAsia" w:ascii="Times New Roman" w:hAnsi="Times New Roman" w:cs="Times New Roman"/>
                <w:szCs w:val="21"/>
              </w:rPr>
              <w:t>《重庆市物业管理条例》、《物业服务收费管理办法》、《商务楼宇物业管理服务规范》和合同协议等。</w:t>
            </w:r>
          </w:p>
          <w:p>
            <w:pPr>
              <w:rPr>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b/>
          <w:color w:val="000000" w:themeColor="text1"/>
          <w:spacing w:val="-10"/>
          <w:szCs w:val="21"/>
        </w:rPr>
        <w:t xml:space="preserve"> 体系运行时间</w:t>
      </w:r>
      <w:r>
        <w:rPr>
          <w:rFonts w:hint="eastAsia"/>
          <w:b/>
          <w:color w:val="000000" w:themeColor="text1"/>
          <w:spacing w:val="-10"/>
          <w:szCs w:val="21"/>
          <w:lang w:eastAsia="zh-CN"/>
        </w:rPr>
        <w:t>：</w:t>
      </w:r>
      <w:r>
        <w:rPr>
          <w:rFonts w:hint="eastAsia"/>
          <w:b/>
          <w:color w:val="000000" w:themeColor="text1"/>
          <w:spacing w:val="-10"/>
          <w:szCs w:val="21"/>
          <w:u w:val="none"/>
        </w:rPr>
        <w:t>20</w:t>
      </w:r>
      <w:r>
        <w:rPr>
          <w:rFonts w:hint="eastAsia"/>
          <w:b/>
          <w:color w:val="000000" w:themeColor="text1"/>
          <w:spacing w:val="-10"/>
          <w:szCs w:val="21"/>
          <w:u w:val="none"/>
          <w:lang w:val="en-US" w:eastAsia="zh-CN"/>
        </w:rPr>
        <w:t>20</w:t>
      </w:r>
      <w:r>
        <w:rPr>
          <w:rFonts w:hint="eastAsia"/>
          <w:b/>
          <w:color w:val="000000" w:themeColor="text1"/>
          <w:spacing w:val="-10"/>
          <w:szCs w:val="21"/>
          <w:u w:val="none"/>
        </w:rPr>
        <w:t>年</w:t>
      </w:r>
      <w:r>
        <w:rPr>
          <w:rFonts w:hint="eastAsia"/>
          <w:b/>
          <w:color w:val="000000" w:themeColor="text1"/>
          <w:spacing w:val="-10"/>
          <w:szCs w:val="21"/>
          <w:u w:val="none"/>
          <w:lang w:val="en-US" w:eastAsia="zh-CN"/>
        </w:rPr>
        <w:t>11</w:t>
      </w:r>
      <w:r>
        <w:rPr>
          <w:rFonts w:hint="eastAsia"/>
          <w:b/>
          <w:color w:val="000000" w:themeColor="text1"/>
          <w:spacing w:val="-10"/>
          <w:szCs w:val="21"/>
          <w:u w:val="none"/>
        </w:rPr>
        <w:t>月</w:t>
      </w:r>
      <w:bookmarkStart w:id="21" w:name="OLE_LINK1"/>
      <w:r>
        <w:rPr>
          <w:rFonts w:hint="eastAsia"/>
          <w:b/>
          <w:color w:val="000000" w:themeColor="text1"/>
          <w:spacing w:val="-10"/>
          <w:szCs w:val="21"/>
          <w:u w:val="none"/>
          <w:lang w:val="en-US" w:eastAsia="zh-CN"/>
        </w:rPr>
        <w:t>20</w:t>
      </w:r>
      <w:r>
        <w:rPr>
          <w:rFonts w:hint="eastAsia"/>
          <w:b/>
          <w:color w:val="000000" w:themeColor="text1"/>
          <w:spacing w:val="-10"/>
          <w:szCs w:val="21"/>
          <w:u w:val="none"/>
        </w:rPr>
        <w:t>日</w:t>
      </w:r>
      <w:bookmarkEnd w:id="21"/>
      <w:r>
        <w:rPr>
          <w:rFonts w:hint="eastAsia"/>
          <w:b/>
          <w:color w:val="000000" w:themeColor="text1"/>
          <w:spacing w:val="-10"/>
          <w:szCs w:val="21"/>
          <w:u w:val="none"/>
        </w:rPr>
        <w:t>至  202</w:t>
      </w:r>
      <w:r>
        <w:rPr>
          <w:rFonts w:hint="eastAsia"/>
          <w:b/>
          <w:color w:val="000000" w:themeColor="text1"/>
          <w:spacing w:val="-10"/>
          <w:szCs w:val="21"/>
          <w:u w:val="none"/>
          <w:lang w:val="en-US" w:eastAsia="zh-CN"/>
        </w:rPr>
        <w:t>1</w:t>
      </w:r>
      <w:r>
        <w:rPr>
          <w:rFonts w:hint="eastAsia"/>
          <w:b/>
          <w:color w:val="000000" w:themeColor="text1"/>
          <w:spacing w:val="-10"/>
          <w:szCs w:val="21"/>
          <w:u w:val="none"/>
        </w:rPr>
        <w:t>年</w:t>
      </w:r>
      <w:r>
        <w:rPr>
          <w:rFonts w:hint="eastAsia"/>
          <w:b/>
          <w:color w:val="000000" w:themeColor="text1"/>
          <w:spacing w:val="-10"/>
          <w:szCs w:val="21"/>
          <w:u w:val="none"/>
          <w:lang w:val="en-US" w:eastAsia="zh-CN"/>
        </w:rPr>
        <w:t>3</w:t>
      </w:r>
      <w:r>
        <w:rPr>
          <w:rFonts w:hint="eastAsia"/>
          <w:b/>
          <w:color w:val="000000" w:themeColor="text1"/>
          <w:spacing w:val="-10"/>
          <w:szCs w:val="21"/>
          <w:u w:val="none"/>
        </w:rPr>
        <w:t>月</w:t>
      </w:r>
      <w:r>
        <w:rPr>
          <w:rFonts w:hint="eastAsia"/>
          <w:b/>
          <w:color w:val="000000" w:themeColor="text1"/>
          <w:spacing w:val="-10"/>
          <w:szCs w:val="21"/>
          <w:u w:val="none"/>
          <w:lang w:val="en-US" w:eastAsia="zh-CN"/>
        </w:rPr>
        <w:t>9</w:t>
      </w:r>
      <w:r>
        <w:rPr>
          <w:rFonts w:hint="eastAsia"/>
          <w:b/>
          <w:color w:val="000000" w:themeColor="text1"/>
          <w:spacing w:val="-10"/>
          <w:szCs w:val="21"/>
          <w:u w:val="none"/>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jc w:val="left"/>
              <w:rPr>
                <w:b/>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int="eastAsia"/>
                <w:szCs w:val="22"/>
              </w:rPr>
              <w:t>环境</w:t>
            </w:r>
            <w:r>
              <w:rPr>
                <w:rFonts w:hint="eastAsia"/>
                <w:szCs w:val="22"/>
                <w:lang w:eastAsia="zh-CN"/>
              </w:rPr>
              <w:t>、</w:t>
            </w:r>
            <w:r>
              <w:rPr>
                <w:rFonts w:hint="eastAsia"/>
                <w:szCs w:val="22"/>
              </w:rPr>
              <w:t>职业健康安全管理方针：“预防为主，遵规守法，确保环境安全；以人为本，持续改进，实现平安和谐”。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highlight w:val="green"/>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0" o:spid="_x0000_s2050" o:spt="32" type="#_x0000_t32" style="position:absolute;left:0pt;margin-left:157.9pt;margin-top:12.75pt;height:0pt;width:261.75pt;z-index:25167052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6950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，不适用理由：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组织建立了危险源识别、评价控制程序，识别评价了危险源、风险相关的过程，评价出了重要危险源，与之相关的过程有客户开发、销售，针对重要危险源制定了管理方案。控制措施实施有效。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p>
            <w:pPr>
              <w:ind w:firstLine="525" w:firstLineChars="250"/>
              <w:rPr>
                <w:highlight w:val="none"/>
              </w:rPr>
            </w:pPr>
            <w:r>
              <w:rPr>
                <w:rFonts w:hint="eastAsia"/>
                <w:highlight w:val="none"/>
              </w:rPr>
              <w:t>环境、职业健康安全目标：（考核时间20</w:t>
            </w:r>
            <w:r>
              <w:rPr>
                <w:rFonts w:hint="eastAsia"/>
                <w:highlight w:val="none"/>
                <w:lang w:val="en-US" w:eastAsia="zh-CN"/>
              </w:rPr>
              <w:t>21</w:t>
            </w:r>
            <w:r>
              <w:rPr>
                <w:rFonts w:hint="eastAsia"/>
                <w:highlight w:val="none"/>
              </w:rPr>
              <w:t>年</w:t>
            </w:r>
            <w:r>
              <w:rPr>
                <w:rFonts w:hint="eastAsia"/>
                <w:highlight w:val="none"/>
                <w:lang w:val="en-US" w:eastAsia="zh-CN"/>
              </w:rPr>
              <w:t>1</w:t>
            </w:r>
            <w:r>
              <w:rPr>
                <w:rFonts w:hint="eastAsia"/>
                <w:highlight w:val="none"/>
              </w:rPr>
              <w:t>月-202</w:t>
            </w:r>
            <w:r>
              <w:rPr>
                <w:rFonts w:hint="eastAsia"/>
                <w:highlight w:val="none"/>
                <w:lang w:val="en-US" w:eastAsia="zh-CN"/>
              </w:rPr>
              <w:t>1</w:t>
            </w:r>
            <w:r>
              <w:rPr>
                <w:rFonts w:hint="eastAsia"/>
                <w:highlight w:val="none"/>
              </w:rPr>
              <w:t>年</w:t>
            </w:r>
            <w:r>
              <w:rPr>
                <w:rFonts w:hint="eastAsia"/>
                <w:highlight w:val="none"/>
                <w:lang w:val="en-US" w:eastAsia="zh-CN"/>
              </w:rPr>
              <w:t>2</w:t>
            </w:r>
            <w:r>
              <w:rPr>
                <w:rFonts w:hint="eastAsia"/>
                <w:highlight w:val="none"/>
              </w:rPr>
              <w:t>月）</w:t>
            </w:r>
          </w:p>
          <w:p>
            <w:pPr>
              <w:jc w:val="left"/>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1）</w:t>
            </w:r>
            <w:r>
              <w:rPr>
                <w:rFonts w:hint="eastAsia" w:ascii="Times New Roman" w:hAnsi="Times New Roman" w:eastAsia="宋体" w:cs="Times New Roman"/>
                <w:szCs w:val="22"/>
                <w:lang w:eastAsia="zh-CN"/>
              </w:rPr>
              <w:t>火灾发生率为0；</w:t>
            </w:r>
            <w:r>
              <w:rPr>
                <w:rFonts w:hint="eastAsia" w:ascii="Times New Roman" w:hAnsi="Times New Roman" w:eastAsia="宋体" w:cs="Times New Roman"/>
                <w:szCs w:val="22"/>
                <w:lang w:val="en-US" w:eastAsia="zh-CN"/>
              </w:rPr>
              <w:t xml:space="preserve">                       0</w:t>
            </w:r>
          </w:p>
          <w:p>
            <w:pPr>
              <w:jc w:val="left"/>
              <w:rPr>
                <w:rFonts w:hint="eastAsia" w:ascii="Times New Roman" w:hAnsi="Times New Roman" w:eastAsia="宋体" w:cs="Times New Roman"/>
                <w:szCs w:val="22"/>
                <w:lang w:eastAsia="zh-CN"/>
              </w:rPr>
            </w:pPr>
            <w:r>
              <w:rPr>
                <w:rFonts w:hint="eastAsia" w:ascii="Times New Roman" w:hAnsi="Times New Roman" w:eastAsia="宋体" w:cs="Times New Roman"/>
                <w:szCs w:val="22"/>
                <w:lang w:val="en-US" w:eastAsia="zh-CN"/>
              </w:rPr>
              <w:t>2）</w:t>
            </w:r>
            <w:r>
              <w:rPr>
                <w:rFonts w:hint="eastAsia" w:ascii="Times New Roman" w:hAnsi="Times New Roman" w:eastAsia="宋体" w:cs="Times New Roman"/>
                <w:szCs w:val="22"/>
                <w:lang w:eastAsia="zh-CN"/>
              </w:rPr>
              <w:t>固废处置合规率100%；</w:t>
            </w:r>
            <w:r>
              <w:rPr>
                <w:rFonts w:hint="eastAsia" w:ascii="Times New Roman" w:hAnsi="Times New Roman" w:eastAsia="宋体" w:cs="Times New Roman"/>
                <w:szCs w:val="22"/>
                <w:lang w:val="en-US" w:eastAsia="zh-CN"/>
              </w:rPr>
              <w:t xml:space="preserve">                </w:t>
            </w:r>
            <w:r>
              <w:rPr>
                <w:rFonts w:hint="eastAsia" w:ascii="Times New Roman" w:hAnsi="Times New Roman" w:eastAsia="宋体" w:cs="Times New Roman"/>
                <w:szCs w:val="22"/>
                <w:lang w:eastAsia="zh-CN"/>
              </w:rPr>
              <w:t>100%</w:t>
            </w:r>
          </w:p>
          <w:p>
            <w:pPr>
              <w:jc w:val="left"/>
              <w:rPr>
                <w:rFonts w:ascii="宋体" w:hAnsi="宋体"/>
                <w:b/>
                <w:color w:val="000000" w:themeColor="text1"/>
              </w:rPr>
            </w:pPr>
            <w:r>
              <w:rPr>
                <w:rFonts w:hint="eastAsia" w:ascii="Times New Roman" w:hAnsi="Times New Roman" w:eastAsia="宋体" w:cs="Times New Roman"/>
                <w:szCs w:val="22"/>
                <w:lang w:val="en-US" w:eastAsia="zh-CN"/>
              </w:rPr>
              <w:t>3）</w:t>
            </w:r>
            <w:r>
              <w:rPr>
                <w:rFonts w:hint="eastAsia" w:ascii="Times New Roman" w:hAnsi="Times New Roman" w:eastAsia="宋体" w:cs="Times New Roman"/>
                <w:szCs w:val="22"/>
                <w:lang w:eastAsia="zh-CN"/>
              </w:rPr>
              <w:t>员工意外伤害为0。</w:t>
            </w:r>
            <w:r>
              <w:rPr>
                <w:rFonts w:hint="eastAsia" w:ascii="Times New Roman" w:hAnsi="Times New Roman" w:eastAsia="宋体" w:cs="Times New Roman"/>
                <w:szCs w:val="22"/>
                <w:lang w:val="en-US" w:eastAsia="zh-CN"/>
              </w:rPr>
              <w:t xml:space="preserve">                     </w:t>
            </w:r>
            <w:r>
              <w:rPr>
                <w:rFonts w:hint="eastAsia" w:ascii="Times New Roman" w:hAnsi="Times New Roman" w:eastAsia="宋体" w:cs="Times New Roman"/>
                <w:szCs w:val="22"/>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w:t>
            </w:r>
            <w:r>
              <w:rPr>
                <w:rFonts w:hint="eastAsia" w:ascii="宋体" w:hAnsi="宋体" w:eastAsia="宋体" w:cs="宋体"/>
                <w:color w:val="000000" w:themeColor="text1"/>
              </w:rPr>
              <w:t>体系文件于20</w:t>
            </w:r>
            <w:r>
              <w:rPr>
                <w:rFonts w:hint="eastAsia" w:ascii="宋体" w:hAnsi="宋体" w:eastAsia="宋体" w:cs="宋体"/>
                <w:color w:val="000000" w:themeColor="text1"/>
                <w:lang w:val="en-US" w:eastAsia="zh-CN"/>
              </w:rPr>
              <w:t>20</w:t>
            </w:r>
            <w:r>
              <w:rPr>
                <w:rFonts w:hint="eastAsia" w:ascii="宋体" w:hAnsi="宋体" w:eastAsia="宋体" w:cs="宋体"/>
                <w:color w:val="000000" w:themeColor="text1"/>
              </w:rPr>
              <w:t>年</w:t>
            </w:r>
            <w:r>
              <w:rPr>
                <w:rFonts w:hint="eastAsia" w:ascii="宋体" w:hAnsi="宋体" w:eastAsia="宋体" w:cs="宋体"/>
                <w:color w:val="000000" w:themeColor="text1"/>
                <w:lang w:val="en-US" w:eastAsia="zh-CN"/>
              </w:rPr>
              <w:t>11</w:t>
            </w:r>
            <w:r>
              <w:rPr>
                <w:rFonts w:hint="eastAsia" w:ascii="宋体" w:hAnsi="宋体" w:eastAsia="宋体" w:cs="宋体"/>
                <w:color w:val="000000" w:themeColor="text1"/>
              </w:rPr>
              <w:t>月</w:t>
            </w:r>
            <w:r>
              <w:rPr>
                <w:rFonts w:hint="eastAsia" w:ascii="宋体" w:hAnsi="宋体" w:eastAsia="宋体" w:cs="宋体"/>
                <w:color w:val="000000" w:themeColor="text1"/>
                <w:lang w:val="en-US" w:eastAsia="zh-CN"/>
              </w:rPr>
              <w:t>20</w:t>
            </w:r>
            <w:r>
              <w:rPr>
                <w:rFonts w:hint="eastAsia" w:ascii="宋体" w:hAnsi="宋体" w:eastAsia="宋体" w:cs="宋体"/>
                <w:color w:val="000000" w:themeColor="text1"/>
              </w:rPr>
              <w:t>日予以发布并有效实施运行，经对文件评审判定：符合标准要求，符合</w:t>
            </w:r>
            <w:r>
              <w:rPr>
                <w:rFonts w:hint="eastAsia" w:ascii="宋体" w:hAnsi="宋体" w:cs="宋体"/>
                <w:color w:val="000000" w:themeColor="text1"/>
              </w:rPr>
              <w:t>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
                <w:color w:val="000000" w:themeColor="text1"/>
                <w:sz w:val="20"/>
                <w:szCs w:val="20"/>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织按管理体系需求配置了充足的人员、设施、监视和测量设备等资源，并建立维持了建材</w:t>
            </w:r>
            <w:r>
              <w:rPr>
                <w:rFonts w:hint="eastAsia" w:ascii="宋体" w:hAnsi="宋体"/>
                <w:szCs w:val="21"/>
              </w:rPr>
              <w:t>的销售</w:t>
            </w:r>
            <w:r>
              <w:rPr>
                <w:rFonts w:hint="eastAsia" w:ascii="宋体" w:hAnsi="宋体"/>
                <w:bCs/>
                <w:iCs/>
                <w:szCs w:val="22"/>
              </w:rPr>
              <w:t>运行环境，可以维持管理体系的正常运行。</w:t>
            </w: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0" w:lineRule="atLeast"/>
              <w:jc w:val="left"/>
              <w:rPr>
                <w:rFonts w:ascii="宋体" w:hAnsi="宋体"/>
                <w:b/>
                <w:color w:val="auto"/>
                <w:sz w:val="20"/>
                <w:szCs w:val="20"/>
                <w:highlight w:val="green"/>
              </w:rPr>
            </w:pPr>
            <w:r>
              <w:rPr>
                <w:rFonts w:hint="eastAsia" w:ascii="宋体" w:hAnsi="宋体"/>
                <w:b/>
                <w:color w:val="000000" w:themeColor="text1"/>
                <w:sz w:val="20"/>
                <w:szCs w:val="20"/>
              </w:rPr>
              <w:t>设备设施（包括信息系统）、</w:t>
            </w:r>
            <w:r>
              <w:rPr>
                <w:rFonts w:hint="eastAsia" w:ascii="宋体" w:hAnsi="宋体"/>
                <w:color w:val="auto"/>
                <w:szCs w:val="21"/>
                <w:highlight w:val="none"/>
              </w:rPr>
              <w:t>办公场所面积</w:t>
            </w:r>
            <w:r>
              <w:rPr>
                <w:rFonts w:hint="eastAsia" w:ascii="宋体" w:hAnsi="宋体"/>
                <w:color w:val="auto"/>
                <w:szCs w:val="21"/>
                <w:highlight w:val="none"/>
                <w:lang w:val="en-US" w:eastAsia="zh-CN"/>
              </w:rPr>
              <w:t>100</w:t>
            </w:r>
            <w:r>
              <w:rPr>
                <w:rFonts w:hint="eastAsia" w:ascii="宋体" w:hAnsi="宋体"/>
                <w:color w:val="auto"/>
                <w:szCs w:val="21"/>
                <w:highlight w:val="none"/>
              </w:rPr>
              <w:t>平方左右，</w:t>
            </w:r>
            <w:r>
              <w:rPr>
                <w:rFonts w:hint="eastAsia" w:ascii="宋体" w:hAnsi="宋体" w:eastAsia="宋体" w:cs="宋体"/>
                <w:color w:val="auto"/>
                <w:szCs w:val="21"/>
                <w:highlight w:val="none"/>
              </w:rPr>
              <w:t>无库房。</w:t>
            </w:r>
            <w:r>
              <w:rPr>
                <w:rFonts w:hint="eastAsia" w:ascii="宋体" w:hAnsi="宋体" w:cs="宋体"/>
                <w:color w:val="auto"/>
                <w:szCs w:val="21"/>
                <w:highlight w:val="none"/>
              </w:rPr>
              <w:t>主要生产设备包括电脑和办公设备</w:t>
            </w:r>
            <w:r>
              <w:rPr>
                <w:rFonts w:hint="eastAsia" w:ascii="宋体" w:hAnsi="宋体"/>
                <w:color w:val="auto"/>
                <w:szCs w:val="21"/>
                <w:highlight w:val="none"/>
              </w:rPr>
              <w:t>，可以满足有</w:t>
            </w:r>
            <w:r>
              <w:rPr>
                <w:rFonts w:hint="eastAsia" w:ascii="宋体" w:hAnsi="宋体"/>
                <w:color w:val="auto"/>
                <w:szCs w:val="21"/>
                <w:highlight w:val="none"/>
                <w:lang w:eastAsia="zh-CN"/>
              </w:rPr>
              <w:t>物业管理服务</w:t>
            </w:r>
            <w:r>
              <w:rPr>
                <w:rFonts w:hint="eastAsia" w:ascii="宋体" w:hAnsi="宋体"/>
                <w:color w:val="auto"/>
                <w:szCs w:val="21"/>
                <w:highlight w:val="none"/>
              </w:rPr>
              <w:t>的需</w:t>
            </w:r>
            <w:r>
              <w:rPr>
                <w:rFonts w:hint="eastAsia" w:ascii="宋体" w:hAnsi="宋体"/>
                <w:bCs/>
                <w:iCs/>
                <w:szCs w:val="22"/>
              </w:rPr>
              <w:t>要。对设备按月方式进行点检维护保养，并实施。特种设备：无。公司未建立信息管理系统用于生产和服务。</w:t>
            </w:r>
          </w:p>
          <w:p>
            <w:pPr>
              <w:spacing w:line="240" w:lineRule="exact"/>
              <w:rPr>
                <w:rFonts w:ascii="宋体" w:hAnsi="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办公场所和内设备布置合理，通道畅通，照明设施齐全，均配备了消防设施等设施。办公室明亮，培训场所光线较充足。每月由</w:t>
            </w:r>
            <w:r>
              <w:rPr>
                <w:rFonts w:hint="eastAsia" w:ascii="宋体" w:hAnsi="宋体" w:cs="宋体"/>
                <w:szCs w:val="21"/>
                <w:lang w:eastAsia="zh-CN"/>
              </w:rPr>
              <w:t>综合办公室</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sz w:val="20"/>
                <w:szCs w:val="20"/>
              </w:rPr>
            </w:pPr>
            <w:r>
              <w:rPr>
                <w:rFonts w:hint="eastAsia"/>
                <w:szCs w:val="21"/>
                <w:highlight w:val="none"/>
                <w:lang w:val="en-US" w:eastAsia="zh-CN"/>
              </w:rPr>
              <w:t>无、</w:t>
            </w:r>
            <w:r>
              <w:rPr>
                <w:rFonts w:hint="eastAsia" w:ascii="宋体" w:hAnsi="宋体" w:cs="宋体"/>
                <w:sz w:val="21"/>
                <w:szCs w:val="21"/>
                <w:highlight w:val="none"/>
                <w:lang w:bidi="ar"/>
              </w:rPr>
              <w:t>查</w:t>
            </w:r>
            <w:r>
              <w:rPr>
                <w:rFonts w:hint="eastAsia" w:ascii="宋体" w:hAnsi="宋体" w:cs="宋体"/>
                <w:sz w:val="21"/>
                <w:szCs w:val="21"/>
                <w:highlight w:val="none"/>
                <w:lang w:eastAsia="zh-CN" w:bidi="ar"/>
              </w:rPr>
              <w:t>保洁服务</w:t>
            </w:r>
            <w:r>
              <w:rPr>
                <w:rFonts w:hint="eastAsia" w:ascii="宋体" w:hAnsi="宋体" w:cs="宋体"/>
                <w:sz w:val="21"/>
                <w:szCs w:val="21"/>
                <w:highlight w:val="none"/>
                <w:lang w:bidi="ar"/>
              </w:rPr>
              <w:t>质量验收检查主要按感官进行检查，暂未配置相应检测设备。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组织重要环境因素为</w:t>
            </w:r>
            <w:r>
              <w:rPr>
                <w:rFonts w:hint="eastAsia" w:asciiTheme="minorEastAsia" w:hAnsiTheme="minorEastAsia" w:eastAsiaTheme="minorEastAsia"/>
                <w:bCs/>
                <w:iCs/>
                <w:lang w:eastAsia="zh-CN"/>
              </w:rPr>
              <w:t>：</w:t>
            </w:r>
            <w:r>
              <w:rPr>
                <w:rFonts w:hint="eastAsia" w:ascii="宋体" w:hAnsi="宋体" w:cs="宋体"/>
                <w:szCs w:val="21"/>
                <w:highlight w:val="none"/>
              </w:rPr>
              <w:t>1）潜在火灾；</w:t>
            </w: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固体废弃物的排放</w:t>
            </w:r>
            <w:r>
              <w:rPr>
                <w:rFonts w:hint="eastAsia" w:asciiTheme="minorEastAsia" w:hAnsiTheme="minorEastAsia" w:eastAsiaTheme="minorEastAsia"/>
                <w:bCs/>
                <w:iCs/>
              </w:rPr>
              <w:t>，需要应对的风险和机遇相关的过程为施工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组织建立了危险源识别、评价控制程序，识别评价了危险源、风险相关的过程，评价出了重要危险源</w:t>
            </w:r>
            <w:r>
              <w:rPr>
                <w:rFonts w:hint="eastAsia" w:asciiTheme="minorEastAsia" w:hAnsiTheme="minorEastAsia" w:eastAsiaTheme="minorEastAsia"/>
                <w:bCs/>
                <w:iCs/>
                <w:lang w:eastAsia="zh-CN"/>
              </w:rPr>
              <w:t>：</w:t>
            </w:r>
            <w:r>
              <w:rPr>
                <w:rFonts w:hint="eastAsia"/>
                <w:szCs w:val="21"/>
                <w:highlight w:val="none"/>
                <w:lang w:val="en-US" w:eastAsia="zh-CN"/>
              </w:rPr>
              <w:t>1）潜在</w:t>
            </w:r>
            <w:r>
              <w:rPr>
                <w:rFonts w:hint="eastAsia"/>
                <w:szCs w:val="21"/>
                <w:highlight w:val="none"/>
              </w:rPr>
              <w:t>火灾；2）</w:t>
            </w:r>
            <w:r>
              <w:rPr>
                <w:rFonts w:hint="eastAsia"/>
                <w:szCs w:val="21"/>
                <w:highlight w:val="none"/>
                <w:lang w:val="en-US" w:eastAsia="zh-CN"/>
              </w:rPr>
              <w:t>意外伤害</w:t>
            </w:r>
            <w:r>
              <w:rPr>
                <w:rFonts w:hint="eastAsia" w:ascii="宋体" w:hAnsi="宋体"/>
                <w:szCs w:val="21"/>
              </w:rPr>
              <w:t>（触电、摔伤、暴力伤害、交通事故等）</w:t>
            </w:r>
            <w:r>
              <w:rPr>
                <w:rFonts w:hint="eastAsia" w:asciiTheme="minorEastAsia" w:hAnsiTheme="minorEastAsia" w:eastAsiaTheme="minorEastAsia"/>
                <w:bCs/>
                <w:iCs/>
              </w:rPr>
              <w:t>，与之相关的过程有客户需求分析、合同签订、销售过程，针对不可接受风险制定了管理方案。控制措施实施有效。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w:t>
            </w:r>
            <w:r>
              <w:rPr>
                <w:rFonts w:hint="eastAsia" w:cs="Times New Roman" w:asciiTheme="minorEastAsia" w:hAnsiTheme="minorEastAsia" w:eastAsiaTheme="minorEastAsia"/>
                <w:bCs/>
                <w:iCs/>
                <w:lang w:val="en-US" w:eastAsia="zh-CN"/>
              </w:rPr>
              <w:t>并</w:t>
            </w:r>
            <w:r>
              <w:rPr>
                <w:rFonts w:hint="eastAsia" w:cs="Times New Roman" w:asciiTheme="minorEastAsia" w:hAnsiTheme="minorEastAsia" w:eastAsiaTheme="minorEastAsia"/>
                <w:bCs/>
                <w:iCs/>
              </w:rPr>
              <w:t>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10. 对特种设备的维护; （适用时）</w:t>
            </w:r>
          </w:p>
          <w:p>
            <w:pPr>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11 .对危险化学品销售、使用、储存、运输处置，规定的执行力度(必要时); （适用时）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w:t>
            </w:r>
            <w:r>
              <w:rPr>
                <w:rFonts w:hint="eastAsia" w:ascii="宋体" w:hAnsi="宋体" w:cs="宋体"/>
                <w:szCs w:val="21"/>
              </w:rPr>
              <w:t>过20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color w:val="000000"/>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FF0000"/>
                <w:sz w:val="20"/>
                <w:szCs w:val="20"/>
              </w:rPr>
            </w:pPr>
            <w:r>
              <w:rPr>
                <w:rFonts w:hint="eastAsia" w:ascii="宋体" w:hAnsi="宋体"/>
                <w:szCs w:val="21"/>
              </w:rPr>
              <w:t>建立有《内部审核控制程序》，规定了内审频次一年一次，内审时间：</w:t>
            </w:r>
            <w:r>
              <w:rPr>
                <w:rFonts w:hint="eastAsia" w:ascii="Times New Roman" w:hAnsi="Times New Roman" w:eastAsia="宋体" w:cs="Times New Roman"/>
                <w:szCs w:val="22"/>
                <w:highlight w:val="none"/>
              </w:rPr>
              <w:t>202</w:t>
            </w:r>
            <w:r>
              <w:rPr>
                <w:rFonts w:hint="eastAsia" w:ascii="Times New Roman" w:hAnsi="Times New Roman" w:eastAsia="宋体" w:cs="Times New Roman"/>
                <w:szCs w:val="22"/>
                <w:highlight w:val="none"/>
                <w:lang w:val="en-US" w:eastAsia="zh-CN"/>
              </w:rPr>
              <w:t>1</w:t>
            </w:r>
            <w:r>
              <w:rPr>
                <w:rFonts w:hint="eastAsia" w:ascii="Times New Roman" w:hAnsi="Times New Roman" w:eastAsia="宋体" w:cs="Times New Roman"/>
                <w:szCs w:val="22"/>
                <w:highlight w:val="none"/>
              </w:rPr>
              <w:t>年</w:t>
            </w:r>
            <w:r>
              <w:rPr>
                <w:rFonts w:hint="eastAsia" w:ascii="Times New Roman" w:hAnsi="Times New Roman" w:eastAsia="宋体" w:cs="Times New Roman"/>
                <w:szCs w:val="22"/>
                <w:highlight w:val="none"/>
                <w:lang w:val="en-US" w:eastAsia="zh-CN"/>
              </w:rPr>
              <w:t>2</w:t>
            </w:r>
            <w:r>
              <w:rPr>
                <w:rFonts w:hint="eastAsia" w:ascii="Times New Roman" w:hAnsi="Times New Roman" w:eastAsia="宋体" w:cs="Times New Roman"/>
                <w:szCs w:val="22"/>
                <w:highlight w:val="none"/>
              </w:rPr>
              <w:t>月</w:t>
            </w:r>
            <w:r>
              <w:rPr>
                <w:rFonts w:hint="eastAsia" w:ascii="Times New Roman" w:hAnsi="Times New Roman" w:eastAsia="宋体" w:cs="Times New Roman"/>
                <w:szCs w:val="22"/>
                <w:highlight w:val="none"/>
                <w:lang w:val="en-US" w:eastAsia="zh-CN"/>
              </w:rPr>
              <w:t>20</w:t>
            </w:r>
            <w:r>
              <w:rPr>
                <w:rFonts w:hint="eastAsia" w:ascii="Times New Roman" w:hAnsi="Times New Roman" w:eastAsia="宋体" w:cs="Times New Roman"/>
                <w:szCs w:val="22"/>
                <w:highlight w:val="none"/>
              </w:rPr>
              <w:t>日</w:t>
            </w:r>
            <w:r>
              <w:rPr>
                <w:rFonts w:hint="eastAsia" w:ascii="宋体" w:hAnsi="宋体"/>
                <w:szCs w:val="21"/>
              </w:rPr>
              <w:t>，拟定了审核实施表，明确了内审范围，内审人员经培训合格上岗，能力满足要求，未出现审核本部门情况，内审不符合项1项，涉及</w:t>
            </w:r>
            <w:r>
              <w:rPr>
                <w:rFonts w:hint="eastAsia" w:ascii="宋体" w:hAnsi="宋体" w:cs="宋体"/>
                <w:szCs w:val="21"/>
                <w:highlight w:val="none"/>
                <w:lang w:val="en-US" w:eastAsia="zh-CN"/>
              </w:rPr>
              <w:t>综合办公室</w:t>
            </w:r>
            <w:r>
              <w:rPr>
                <w:rFonts w:hint="eastAsia" w:ascii="宋体" w:hAnsi="宋体" w:cs="宋体"/>
                <w:szCs w:val="21"/>
                <w:lang w:val="en-US" w:eastAsia="zh-CN"/>
              </w:rPr>
              <w:t>ES</w:t>
            </w:r>
            <w:r>
              <w:rPr>
                <w:rFonts w:hint="eastAsia" w:ascii="宋体" w:hAnsi="宋体" w:cs="宋体"/>
                <w:szCs w:val="21"/>
              </w:rPr>
              <w:t>7.5.3</w:t>
            </w:r>
            <w:r>
              <w:rPr>
                <w:rFonts w:hint="eastAsia" w:ascii="宋体" w:hAnsi="宋体" w:cs="宋体"/>
                <w:szCs w:val="21"/>
                <w:lang w:val="en-US" w:eastAsia="zh-CN"/>
              </w:rPr>
              <w:t>条款</w:t>
            </w:r>
            <w:r>
              <w:rPr>
                <w:rFonts w:hint="eastAsia" w:ascii="宋体" w:hAnsi="宋体" w:cs="宋体"/>
                <w:szCs w:val="21"/>
              </w:rPr>
              <w:t>程序文件已发放，但无发放记录</w:t>
            </w:r>
            <w:r>
              <w:rPr>
                <w:rFonts w:hint="eastAsia" w:ascii="宋体" w:hAnsi="宋体"/>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w:t>
            </w:r>
            <w:r>
              <w:rPr>
                <w:rFonts w:hint="eastAsia" w:ascii="宋体" w:hAnsi="宋体"/>
                <w:color w:val="auto"/>
                <w:szCs w:val="21"/>
              </w:rPr>
              <w:t>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3</w:t>
            </w:r>
            <w:r>
              <w:rPr>
                <w:rFonts w:hint="eastAsia" w:ascii="宋体" w:hAnsi="宋体"/>
                <w:color w:val="auto"/>
                <w:szCs w:val="21"/>
              </w:rPr>
              <w:t>月</w:t>
            </w:r>
            <w:r>
              <w:rPr>
                <w:rFonts w:hint="eastAsia" w:ascii="宋体" w:hAnsi="宋体"/>
                <w:color w:val="auto"/>
                <w:szCs w:val="21"/>
                <w:lang w:val="en-US" w:eastAsia="zh-CN"/>
              </w:rPr>
              <w:t>1</w:t>
            </w:r>
            <w:r>
              <w:rPr>
                <w:rFonts w:hint="eastAsia" w:ascii="宋体" w:hAnsi="宋体"/>
                <w:color w:val="auto"/>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sz w:val="20"/>
                <w:szCs w:val="20"/>
              </w:rPr>
            </w:pPr>
            <w:r>
              <w:rPr>
                <w:rFonts w:hint="eastAsia"/>
                <w:b/>
                <w:sz w:val="20"/>
                <w:szCs w:val="20"/>
              </w:rPr>
              <w:t>9. 其他能够标明组织绩效、信誉的证据/信息：</w:t>
            </w:r>
          </w:p>
          <w:p>
            <w:pPr>
              <w:widowControl/>
              <w:spacing w:line="240" w:lineRule="exact"/>
              <w:rPr>
                <w:b/>
                <w:color w:val="FF0000"/>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sz w:val="24"/>
          <w:szCs w:val="24"/>
          <w:highlight w:val="none"/>
        </w:rPr>
      </w:pPr>
      <w:r>
        <w:rPr>
          <w:rFonts w:hint="eastAsia"/>
          <w:b/>
          <w:color w:val="auto"/>
          <w:sz w:val="24"/>
          <w:szCs w:val="24"/>
          <w:highlight w:val="none"/>
        </w:rPr>
        <w:t>1. 本次审核共开具不符合项报告1项；其中</w:t>
      </w:r>
      <w:r>
        <w:rPr>
          <w:b/>
          <w:color w:val="auto"/>
          <w:sz w:val="24"/>
          <w:szCs w:val="24"/>
          <w:highlight w:val="none"/>
        </w:rPr>
        <w:pict>
          <v:line id="直接连接符 1" o:spid="_x0000_s2052" o:spt="20" style="position:absolute;left:0pt;margin-left:210pt;margin-top:16.2pt;height:0pt;width:0pt;z-index:251672576;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auto"/>
          <w:sz w:val="24"/>
          <w:szCs w:val="24"/>
          <w:highlight w:val="none"/>
        </w:rPr>
        <w:t>严重不符合0项，一般不符合 1项，观察项0项，分布在部门</w:t>
      </w:r>
      <w:r>
        <w:rPr>
          <w:rFonts w:hint="eastAsia"/>
          <w:b/>
          <w:color w:val="auto"/>
          <w:sz w:val="24"/>
          <w:szCs w:val="24"/>
          <w:highlight w:val="none"/>
          <w:lang w:eastAsia="zh-CN"/>
        </w:rPr>
        <w:t>综合办公室</w:t>
      </w:r>
      <w:r>
        <w:rPr>
          <w:rFonts w:hint="eastAsia"/>
          <w:b/>
          <w:color w:val="auto"/>
          <w:sz w:val="24"/>
          <w:szCs w:val="24"/>
          <w:highlight w:val="none"/>
        </w:rPr>
        <w:t>E/S</w:t>
      </w:r>
      <w:r>
        <w:rPr>
          <w:rFonts w:hint="eastAsia"/>
          <w:b/>
          <w:color w:val="auto"/>
          <w:sz w:val="24"/>
          <w:szCs w:val="24"/>
          <w:highlight w:val="none"/>
          <w:lang w:val="en-US" w:eastAsia="zh-CN"/>
        </w:rPr>
        <w:t>6.1.3</w:t>
      </w:r>
      <w:r>
        <w:rPr>
          <w:rFonts w:hint="eastAsia"/>
          <w:b/>
          <w:color w:val="auto"/>
          <w:sz w:val="24"/>
          <w:szCs w:val="24"/>
          <w:highlight w:val="none"/>
        </w:rPr>
        <w:t>条款，分布见附件。（</w:t>
      </w:r>
      <w:r>
        <w:rPr>
          <w:rFonts w:hint="eastAsia"/>
          <w:b/>
          <w:sz w:val="24"/>
          <w:szCs w:val="24"/>
          <w:highlight w:val="none"/>
        </w:rPr>
        <w:t>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37" w:leftChars="-337" w:hanging="571" w:hangingChars="271"/>
        <w:rPr>
          <w:rFonts w:ascii="宋体" w:hAnsi="宋体"/>
          <w:b/>
          <w:color w:val="000000" w:themeColor="text1"/>
          <w:szCs w:val="21"/>
        </w:rPr>
      </w:pPr>
      <w:r>
        <w:rPr>
          <w:rFonts w:hint="eastAsia"/>
          <w:b/>
          <w:color w:val="000000" w:themeColor="text1"/>
        </w:rPr>
        <w:t>■</w:t>
      </w:r>
      <w:r>
        <w:rPr>
          <w:rFonts w:hint="eastAsia" w:ascii="宋体" w:hAnsi="宋体"/>
          <w:b/>
          <w:color w:val="000000" w:themeColor="text1"/>
          <w:szCs w:val="21"/>
        </w:rPr>
        <w:t>可能影响本次审核结论可靠性的因素：无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37" w:leftChars="-337" w:hanging="571" w:hangingChars="271"/>
        <w:rPr>
          <w:rFonts w:ascii="宋体" w:hAnsi="宋体"/>
          <w:b/>
          <w:color w:val="000000" w:themeColor="text1"/>
          <w:szCs w:val="21"/>
        </w:rPr>
      </w:pPr>
      <w:r>
        <w:rPr>
          <w:rFonts w:hint="eastAsia"/>
          <w:b/>
          <w:color w:val="000000" w:themeColor="text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GJB   ■</w:t>
            </w:r>
            <w:r>
              <w:rPr>
                <w:rFonts w:hint="eastAsia"/>
                <w:b/>
                <w:color w:val="000000" w:themeColor="text1"/>
                <w:sz w:val="22"/>
                <w:szCs w:val="22"/>
              </w:rPr>
              <w:t>EMS ■OHSMS的适宜性、充分性、运行有效性，自我完善机制等。管理体系满足适用要求和实现预期结果的能力。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rPr>
            </w:pPr>
            <w:r>
              <w:rPr>
                <w:rFonts w:hint="eastAsia" w:ascii="宋体" w:hAnsi="宋体"/>
                <w:b/>
                <w:color w:val="000000" w:themeColor="text1"/>
              </w:rPr>
              <w:t>EMS:</w:t>
            </w:r>
            <w:r>
              <w:rPr>
                <w:rFonts w:hint="eastAsia" w:ascii="宋体" w:hAnsi="宋体"/>
                <w:b/>
                <w:bCs/>
                <w:szCs w:val="21"/>
                <w:u w:val="single"/>
                <w:lang w:eastAsia="zh-CN"/>
              </w:rPr>
              <w:t>物业管理服务</w:t>
            </w:r>
            <w:r>
              <w:rPr>
                <w:rFonts w:hint="eastAsia" w:ascii="宋体" w:hAnsi="宋体"/>
                <w:b/>
                <w:bCs/>
                <w:color w:val="000000" w:themeColor="text1"/>
                <w:u w:val="single"/>
              </w:rPr>
              <w:t>所涉及的相关环境管理活动。</w:t>
            </w:r>
          </w:p>
          <w:p>
            <w:pPr>
              <w:spacing w:line="320" w:lineRule="exact"/>
              <w:rPr>
                <w:rFonts w:ascii="宋体" w:hAnsi="宋体"/>
                <w:b/>
                <w:color w:val="000000" w:themeColor="text1"/>
              </w:rPr>
            </w:pPr>
            <w:r>
              <w:rPr>
                <w:rFonts w:hint="eastAsia" w:ascii="宋体" w:hAnsi="宋体"/>
                <w:b/>
                <w:color w:val="000000" w:themeColor="text1"/>
              </w:rPr>
              <w:t xml:space="preserve">OHSMS: </w:t>
            </w:r>
            <w:r>
              <w:rPr>
                <w:rFonts w:hint="eastAsia" w:ascii="宋体" w:hAnsi="宋体"/>
                <w:b/>
                <w:bCs/>
                <w:szCs w:val="21"/>
                <w:u w:val="single"/>
                <w:lang w:eastAsia="zh-CN"/>
              </w:rPr>
              <w:t>物业管理服务</w:t>
            </w:r>
            <w:r>
              <w:rPr>
                <w:rFonts w:hint="eastAsia" w:ascii="宋体" w:hAnsi="宋体"/>
                <w:b/>
                <w:bCs/>
                <w:color w:val="000000" w:themeColor="text1"/>
                <w:u w:val="single"/>
              </w:rPr>
              <w:t>所涉及的相关职业健康安全管理活动。</w:t>
            </w:r>
          </w:p>
          <w:p>
            <w:pPr>
              <w:spacing w:line="32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EMS   ■OHSMS)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一般不符合报告在30天/严重不符合在天针对不符合原因制定并实施纠正措施。验证方式见不符合项报告。</w:t>
      </w:r>
    </w:p>
    <w:p>
      <w:pPr>
        <w:spacing w:beforeLines="50" w:afterLines="50"/>
        <w:ind w:left="1" w:leftChars="-405" w:hanging="851" w:hangingChars="326"/>
        <w:rPr>
          <w:rFonts w:hint="eastAsia" w:eastAsia="宋体"/>
          <w:color w:val="000000" w:themeColor="text1"/>
          <w:sz w:val="28"/>
          <w:szCs w:val="28"/>
          <w:lang w:val="en-US" w:eastAsia="zh-CN"/>
        </w:rPr>
      </w:pPr>
      <w:r>
        <w:rPr>
          <w:rFonts w:hint="eastAsia"/>
          <w:b/>
          <w:color w:val="000000" w:themeColor="text1"/>
          <w:sz w:val="26"/>
          <w:szCs w:val="26"/>
        </w:rPr>
        <w:t>十三、</w:t>
      </w:r>
      <w:r>
        <w:rPr>
          <w:rFonts w:hint="eastAsia" w:ascii="仿宋" w:hAnsi="仿宋" w:eastAsia="仿宋" w:cstheme="minorBidi"/>
          <w:b/>
          <w:bCs/>
          <w:color w:val="000000" w:themeColor="text1"/>
          <w:kern w:val="24"/>
          <w:sz w:val="28"/>
          <w:szCs w:val="28"/>
        </w:rPr>
        <w:t xml:space="preserve"> 任何影响审核方案的重要事项</w:t>
      </w:r>
      <w:r>
        <w:rPr>
          <w:rFonts w:hint="eastAsia"/>
          <w:b/>
          <w:bCs/>
          <w:color w:val="000000" w:themeColor="text1"/>
          <w:sz w:val="26"/>
          <w:szCs w:val="26"/>
        </w:rPr>
        <w:t>：</w:t>
      </w:r>
      <w:r>
        <w:rPr>
          <w:b/>
          <w:bCs/>
          <w:color w:val="000000" w:themeColor="text1"/>
          <w:sz w:val="16"/>
          <w:szCs w:val="16"/>
        </w:rPr>
        <w:t xml:space="preserve"> </w:t>
      </w:r>
      <w:r>
        <w:rPr>
          <w:rFonts w:hint="eastAsia" w:ascii="仿宋" w:hAnsi="仿宋" w:eastAsia="仿宋" w:cstheme="minorBidi"/>
          <w:b/>
          <w:bCs/>
          <w:color w:val="000000" w:themeColor="text1"/>
          <w:kern w:val="24"/>
          <w:sz w:val="28"/>
          <w:szCs w:val="28"/>
          <w:lang w:val="en-US" w:eastAsia="zh-CN"/>
        </w:rPr>
        <w:t>无</w:t>
      </w:r>
    </w:p>
    <w:p>
      <w:pPr>
        <w:snapToGrid w:val="0"/>
        <w:rPr>
          <w:b/>
          <w:bCs/>
          <w:color w:val="000000" w:themeColor="text1"/>
          <w:szCs w:val="28"/>
          <w:u w:val="single"/>
        </w:rPr>
      </w:pPr>
    </w:p>
    <w:p>
      <w:pPr>
        <w:snapToGrid w:val="0"/>
        <w:spacing w:afterLines="50" w:line="360" w:lineRule="auto"/>
        <w:ind w:left="-130" w:leftChars="-405" w:hanging="720" w:hangingChars="326"/>
        <w:rPr>
          <w:b/>
          <w:color w:val="000000" w:themeColor="text1"/>
          <w:sz w:val="16"/>
          <w:szCs w:val="16"/>
        </w:rPr>
      </w:pPr>
      <w:r>
        <w:rPr>
          <w:rFonts w:hint="eastAsia"/>
          <w:b/>
          <w:sz w:val="22"/>
          <w:szCs w:val="22"/>
        </w:rPr>
        <w:drawing>
          <wp:anchor distT="0" distB="0" distL="114300" distR="114300" simplePos="0" relativeHeight="251696128" behindDoc="0" locked="0" layoutInCell="1" allowOverlap="1">
            <wp:simplePos x="0" y="0"/>
            <wp:positionH relativeFrom="column">
              <wp:posOffset>1682115</wp:posOffset>
            </wp:positionH>
            <wp:positionV relativeFrom="paragraph">
              <wp:posOffset>296545</wp:posOffset>
            </wp:positionV>
            <wp:extent cx="893445" cy="495300"/>
            <wp:effectExtent l="0" t="0" r="5715" b="7620"/>
            <wp:wrapNone/>
            <wp:docPr id="4"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文档 2020-01-09 10.59.53_副本.jpg"/>
                    <pic:cNvPicPr>
                      <a:picLocks noChangeAspect="1" noChangeArrowheads="1"/>
                    </pic:cNvPicPr>
                  </pic:nvPicPr>
                  <pic:blipFill>
                    <a:blip r:embed="rId6" cstate="print"/>
                    <a:srcRect t="11587"/>
                    <a:stretch>
                      <a:fillRect/>
                    </a:stretch>
                  </pic:blipFill>
                  <pic:spPr>
                    <a:xfrm>
                      <a:off x="0" y="0"/>
                      <a:ext cx="893445" cy="495300"/>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pPr>
        <w:snapToGrid w:val="0"/>
        <w:spacing w:afterLines="50" w:line="360" w:lineRule="auto"/>
        <w:ind w:left="-10" w:leftChars="-32" w:hanging="57" w:hangingChars="26"/>
        <w:rPr>
          <w:b/>
          <w:color w:val="000000" w:themeColor="text1"/>
          <w:sz w:val="26"/>
          <w:szCs w:val="26"/>
        </w:rPr>
      </w:pPr>
      <w:r>
        <w:rPr>
          <w:rFonts w:hint="eastAsia" w:eastAsia="宋体"/>
          <w:sz w:val="22"/>
          <w:szCs w:val="22"/>
          <w:lang w:eastAsia="zh-CN"/>
        </w:rPr>
        <w:drawing>
          <wp:anchor distT="0" distB="0" distL="114300" distR="114300" simplePos="0" relativeHeight="251685888" behindDoc="0" locked="0" layoutInCell="1" allowOverlap="1">
            <wp:simplePos x="0" y="0"/>
            <wp:positionH relativeFrom="column">
              <wp:posOffset>1695450</wp:posOffset>
            </wp:positionH>
            <wp:positionV relativeFrom="paragraph">
              <wp:posOffset>379095</wp:posOffset>
            </wp:positionV>
            <wp:extent cx="704850" cy="351790"/>
            <wp:effectExtent l="0" t="0" r="11430" b="13970"/>
            <wp:wrapNone/>
            <wp:docPr id="14"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d23edb0d814701504dd7deb97d797b"/>
                    <pic:cNvPicPr>
                      <a:picLocks noChangeAspect="1"/>
                    </pic:cNvPicPr>
                  </pic:nvPicPr>
                  <pic:blipFill>
                    <a:blip r:embed="rId7"/>
                    <a:srcRect l="10377" t="24118" r="4335" b="17353"/>
                    <a:stretch>
                      <a:fillRect/>
                    </a:stretch>
                  </pic:blipFill>
                  <pic:spPr>
                    <a:xfrm>
                      <a:off x="0" y="0"/>
                      <a:ext cx="704850" cy="351790"/>
                    </a:xfrm>
                    <a:prstGeom prst="rect">
                      <a:avLst/>
                    </a:prstGeom>
                  </pic:spPr>
                </pic:pic>
              </a:graphicData>
            </a:graphic>
          </wp:anchor>
        </w:drawing>
      </w:r>
      <w:r>
        <w:rPr>
          <w:rFonts w:hint="eastAsia" w:eastAsia="宋体"/>
          <w:lang w:eastAsia="zh-CN"/>
        </w:rPr>
        <w:drawing>
          <wp:anchor distT="0" distB="0" distL="114300" distR="114300" simplePos="0" relativeHeight="251694080" behindDoc="0" locked="0" layoutInCell="1" allowOverlap="1">
            <wp:simplePos x="0" y="0"/>
            <wp:positionH relativeFrom="column">
              <wp:posOffset>2528570</wp:posOffset>
            </wp:positionH>
            <wp:positionV relativeFrom="paragraph">
              <wp:posOffset>418465</wp:posOffset>
            </wp:positionV>
            <wp:extent cx="722630" cy="330200"/>
            <wp:effectExtent l="0" t="0" r="1270" b="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8"/>
                    <a:stretch>
                      <a:fillRect/>
                    </a:stretch>
                  </pic:blipFill>
                  <pic:spPr>
                    <a:xfrm>
                      <a:off x="0" y="0"/>
                      <a:ext cx="722630" cy="330200"/>
                    </a:xfrm>
                    <a:prstGeom prst="rect">
                      <a:avLst/>
                    </a:prstGeom>
                  </pic:spPr>
                </pic:pic>
              </a:graphicData>
            </a:graphic>
          </wp:anchor>
        </w:drawing>
      </w:r>
      <w:r>
        <w:rPr>
          <w:rFonts w:hint="eastAsia"/>
          <w:b/>
          <w:color w:val="000000" w:themeColor="text1"/>
          <w:sz w:val="26"/>
          <w:szCs w:val="26"/>
        </w:rPr>
        <w:t>审核组组长（签名）：</w:t>
      </w:r>
      <w:bookmarkStart w:id="23" w:name="_GoBack"/>
      <w:bookmarkEnd w:id="23"/>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921" w:firstLineChars="1860"/>
        <w:rPr>
          <w:b/>
          <w:color w:val="000000" w:themeColor="text1"/>
          <w:sz w:val="16"/>
          <w:szCs w:val="16"/>
        </w:rPr>
      </w:pPr>
      <w:r>
        <w:rPr>
          <w:rFonts w:hint="eastAsia"/>
          <w:b/>
          <w:color w:val="000000" w:themeColor="text1"/>
        </w:rPr>
        <w:t>日期：</w:t>
      </w:r>
      <w:r>
        <w:rPr>
          <w:rFonts w:hint="eastAsia"/>
          <w:b/>
          <w:color w:val="000000" w:themeColor="text1"/>
          <w:sz w:val="24"/>
          <w:szCs w:val="24"/>
        </w:rPr>
        <w:t>202</w:t>
      </w:r>
      <w:r>
        <w:rPr>
          <w:rFonts w:hint="eastAsia"/>
          <w:b/>
          <w:color w:val="000000" w:themeColor="text1"/>
          <w:sz w:val="24"/>
          <w:szCs w:val="24"/>
          <w:lang w:val="en-US" w:eastAsia="zh-CN"/>
        </w:rPr>
        <w:t>1</w:t>
      </w:r>
      <w:r>
        <w:rPr>
          <w:rFonts w:hint="eastAsia"/>
          <w:b/>
          <w:color w:val="000000" w:themeColor="text1"/>
          <w:sz w:val="24"/>
          <w:szCs w:val="24"/>
        </w:rPr>
        <w:t xml:space="preserve"> </w:t>
      </w:r>
      <w:r>
        <w:rPr>
          <w:rFonts w:hint="eastAsia" w:asciiTheme="minorEastAsia" w:hAnsiTheme="minorEastAsia" w:eastAsiaTheme="minorEastAsia"/>
          <w:b/>
          <w:color w:val="000000" w:themeColor="text1"/>
          <w:sz w:val="24"/>
          <w:szCs w:val="24"/>
        </w:rPr>
        <w:t>年</w:t>
      </w:r>
      <w:r>
        <w:rPr>
          <w:rFonts w:hint="eastAsia" w:asciiTheme="minorEastAsia" w:hAnsiTheme="minorEastAsia" w:eastAsiaTheme="minorEastAsia"/>
          <w:b/>
          <w:color w:val="000000" w:themeColor="text1"/>
          <w:sz w:val="24"/>
          <w:szCs w:val="24"/>
          <w:lang w:val="en-US" w:eastAsia="zh-CN"/>
        </w:rPr>
        <w:t>3</w:t>
      </w:r>
      <w:r>
        <w:rPr>
          <w:rFonts w:hint="eastAsia" w:asciiTheme="minorEastAsia" w:hAnsiTheme="minorEastAsia" w:eastAsiaTheme="minorEastAsia"/>
          <w:b/>
          <w:color w:val="000000" w:themeColor="text1"/>
          <w:sz w:val="24"/>
          <w:szCs w:val="24"/>
        </w:rPr>
        <w:t xml:space="preserve"> 月 </w:t>
      </w:r>
      <w:r>
        <w:rPr>
          <w:rFonts w:hint="eastAsia" w:asciiTheme="minorEastAsia" w:hAnsiTheme="minorEastAsia" w:eastAsiaTheme="minorEastAsia"/>
          <w:b/>
          <w:color w:val="000000" w:themeColor="text1"/>
          <w:sz w:val="24"/>
          <w:szCs w:val="24"/>
          <w:lang w:val="en-US" w:eastAsia="zh-CN"/>
        </w:rPr>
        <w:t>9</w:t>
      </w:r>
      <w:r>
        <w:rPr>
          <w:rFonts w:hint="eastAsia" w:asciiTheme="minorEastAsia" w:hAnsiTheme="minorEastAsia" w:eastAsiaTheme="minorEastAsia"/>
          <w:b/>
          <w:color w:val="000000" w:themeColor="text1"/>
          <w:sz w:val="24"/>
          <w:szCs w:val="24"/>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b/>
          <w:color w:val="000000" w:themeColor="text1"/>
          <w:sz w:val="26"/>
          <w:szCs w:val="26"/>
          <w:highlight w:val="none"/>
        </w:rPr>
      </w:pPr>
      <w:r>
        <w:rPr>
          <w:rFonts w:hint="eastAsia"/>
          <w:b/>
          <w:bCs/>
          <w:color w:val="000000" w:themeColor="text1"/>
          <w:szCs w:val="21"/>
          <w:highlight w:val="none"/>
        </w:rPr>
        <w:t>1.  审核中发现的</w:t>
      </w:r>
      <w:r>
        <w:rPr>
          <w:rFonts w:hint="eastAsia"/>
          <w:b/>
          <w:color w:val="000000" w:themeColor="text1"/>
          <w:spacing w:val="-10"/>
          <w:szCs w:val="21"/>
          <w:highlight w:val="none"/>
        </w:rPr>
        <w:t>□</w:t>
      </w:r>
      <w:r>
        <w:rPr>
          <w:rFonts w:hint="eastAsia"/>
          <w:b/>
          <w:color w:val="000000" w:themeColor="text1"/>
          <w:szCs w:val="21"/>
          <w:highlight w:val="none"/>
        </w:rPr>
        <w:t>QMS(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napToGrid w:val="0"/>
        <w:spacing w:beforeLines="50" w:afterLines="50" w:line="360" w:lineRule="auto"/>
        <w:rPr>
          <w:rFonts w:hint="eastAsia"/>
          <w:b/>
          <w:color w:val="000000" w:themeColor="text1"/>
          <w:szCs w:val="21"/>
          <w:highlight w:val="none"/>
        </w:rPr>
      </w:pPr>
      <w:r>
        <w:rPr>
          <w:rFonts w:hint="eastAsia"/>
          <w:b/>
          <w:color w:val="000000" w:themeColor="text1"/>
          <w:szCs w:val="21"/>
          <w:highlight w:val="none"/>
        </w:rPr>
        <w:t xml:space="preserve">审核中发现的■EMS( 1 )个一般不符合，( </w:t>
      </w:r>
      <w:r>
        <w:rPr>
          <w:rFonts w:hint="eastAsia"/>
          <w:b/>
          <w:color w:val="000000" w:themeColor="text1"/>
          <w:szCs w:val="21"/>
          <w:highlight w:val="none"/>
          <w:lang w:val="en-US" w:eastAsia="zh-CN"/>
        </w:rPr>
        <w:t>0</w:t>
      </w:r>
      <w:r>
        <w:rPr>
          <w:rFonts w:hint="eastAsia"/>
          <w:b/>
          <w:color w:val="000000" w:themeColor="text1"/>
          <w:szCs w:val="21"/>
          <w:highlight w:val="none"/>
        </w:rPr>
        <w:t xml:space="preserve"> )个严重不符合，■验证合格□仍有问题</w:t>
      </w:r>
    </w:p>
    <w:p>
      <w:pPr>
        <w:snapToGrid w:val="0"/>
        <w:spacing w:beforeLines="50" w:afterLines="50" w:line="360" w:lineRule="auto"/>
        <w:rPr>
          <w:rFonts w:hint="eastAsia"/>
          <w:b/>
          <w:color w:val="000000" w:themeColor="text1"/>
          <w:szCs w:val="21"/>
          <w:highlight w:val="none"/>
        </w:rPr>
      </w:pPr>
      <w:r>
        <w:rPr>
          <w:rFonts w:hint="eastAsia"/>
          <w:b/>
          <w:color w:val="000000" w:themeColor="text1"/>
          <w:szCs w:val="21"/>
          <w:highlight w:val="none"/>
        </w:rPr>
        <w:t xml:space="preserve">审核中发现的■OHSMS( 1 )个一般不符合，( </w:t>
      </w:r>
      <w:r>
        <w:rPr>
          <w:rFonts w:hint="eastAsia"/>
          <w:b/>
          <w:color w:val="000000" w:themeColor="text1"/>
          <w:szCs w:val="21"/>
          <w:highlight w:val="none"/>
          <w:lang w:val="en-US" w:eastAsia="zh-CN"/>
        </w:rPr>
        <w:t>0</w:t>
      </w:r>
      <w:r>
        <w:rPr>
          <w:rFonts w:hint="eastAsia"/>
          <w:b/>
          <w:color w:val="000000" w:themeColor="text1"/>
          <w:szCs w:val="21"/>
          <w:highlight w:val="none"/>
        </w:rPr>
        <w:t xml:space="preserve"> )个严重不符合，■验证合格□仍有问</w:t>
      </w:r>
      <w:r>
        <w:rPr>
          <w:rFonts w:hint="eastAsia"/>
          <w:b/>
          <w:color w:val="000000" w:themeColor="text1"/>
          <w:szCs w:val="21"/>
          <w:highlight w:val="none"/>
        </w:rPr>
        <w:t>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firstLine="422" w:firstLineChars="200"/>
        <w:rPr>
          <w:b/>
          <w:color w:val="000000" w:themeColor="text1"/>
          <w:szCs w:val="21"/>
        </w:rPr>
      </w:pP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sz w:val="22"/>
          <w:szCs w:val="22"/>
        </w:rPr>
        <w:drawing>
          <wp:anchor distT="0" distB="0" distL="114300" distR="114300" simplePos="0" relativeHeight="251697152" behindDoc="0" locked="0" layoutInCell="1" allowOverlap="1">
            <wp:simplePos x="0" y="0"/>
            <wp:positionH relativeFrom="column">
              <wp:posOffset>711835</wp:posOffset>
            </wp:positionH>
            <wp:positionV relativeFrom="paragraph">
              <wp:posOffset>49530</wp:posOffset>
            </wp:positionV>
            <wp:extent cx="824865" cy="457200"/>
            <wp:effectExtent l="0" t="0" r="13335" b="0"/>
            <wp:wrapNone/>
            <wp:docPr id="3" name="图片 5"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C:\Users\Administrator\Desktop\新文档 2020-01-09 10.59.53_副本.jpg"/>
                    <pic:cNvPicPr>
                      <a:picLocks noChangeAspect="1"/>
                    </pic:cNvPicPr>
                  </pic:nvPicPr>
                  <pic:blipFill>
                    <a:blip r:embed="rId6"/>
                    <a:srcRect t="11588"/>
                    <a:stretch>
                      <a:fillRect/>
                    </a:stretch>
                  </pic:blipFill>
                  <pic:spPr>
                    <a:xfrm>
                      <a:off x="0" y="0"/>
                      <a:ext cx="824865" cy="457200"/>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000000" w:themeColor="text1"/>
          <w:sz w:val="24"/>
          <w:szCs w:val="24"/>
          <w:lang w:val="en-US" w:eastAsia="zh-CN"/>
        </w:rPr>
        <w:t>2021.3.11</w:t>
      </w:r>
      <w:r>
        <w:rPr>
          <w:rFonts w:hint="eastAsia"/>
          <w:b/>
          <w:color w:val="000000" w:themeColor="text1"/>
          <w:sz w:val="24"/>
          <w:szCs w:val="24"/>
        </w:rPr>
        <w:t xml:space="preserve"> </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       年   月   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      年   月   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2"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2"/>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EF783F"/>
    <w:rsid w:val="247F0F27"/>
    <w:rsid w:val="29022DF2"/>
    <w:rsid w:val="29285F91"/>
    <w:rsid w:val="32273A11"/>
    <w:rsid w:val="3B936107"/>
    <w:rsid w:val="435E3282"/>
    <w:rsid w:val="68A94C02"/>
    <w:rsid w:val="691132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ody Text"/>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2</TotalTime>
  <ScaleCrop>false</ScaleCrop>
  <LinksUpToDate>false</LinksUpToDate>
  <CharactersWithSpaces>5057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2021-03-09T08:12:26Z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