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8"/>
        <w:gridCol w:w="125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重庆合韵物业管理有限公司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服务流程：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签订合同——确定物业管理服务区域——安排物业管理服务人员——分配物业管理区域——进行物业管理服务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服务过程风险：服务过程中触电、 中暑、物体打击、机械伤害等</w:t>
            </w:r>
          </w:p>
          <w:p>
            <w:pPr>
              <w:snapToGrid w:val="0"/>
              <w:spacing w:line="280" w:lineRule="exact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外出服务时交通事故伤害等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控制措施：</w:t>
            </w:r>
            <w:r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  <w:t>依据操作手册控制。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重要环境因素：潜在火灾、固体废弃物的排放。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控制措施：采取管理方案和应急处理方案控制。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不可接受风险：潜在火灾、意外伤害。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控制措施：采取管理方案和应急处理方案控制。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中华人民共和国劳动合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同法、中华人民共和国产品质量法、中华人民共和国安全生产法、《清洁条例》《物权法》、《重庆市物业管理条例》、《物业服务收费管理办法》、《商务楼宇物业管理服务规范》污水排入城镇下水道水质标准（GB/T 31962-2015）、大气污染物综合排放标准（GB 16297-1996）等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122555</wp:posOffset>
            </wp:positionV>
            <wp:extent cx="757555" cy="419735"/>
            <wp:effectExtent l="0" t="0" r="4445" b="6985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138430</wp:posOffset>
            </wp:positionV>
            <wp:extent cx="757555" cy="419735"/>
            <wp:effectExtent l="0" t="0" r="4445" b="1206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2021年3月9日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2021年3月9日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186F0E"/>
    <w:rsid w:val="352E2886"/>
    <w:rsid w:val="45C7272D"/>
    <w:rsid w:val="56016ECC"/>
    <w:rsid w:val="6A0256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2021-03-09T06:38:47Z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