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0701-2019-Q-2021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石家庄威大特工控设备有限公司</w:t>
      </w:r>
      <w:bookmarkEnd w:id="1"/>
    </w:p>
    <w:p>
      <w:pPr>
        <w:pStyle w:val="2"/>
        <w:keepNext w:val="0"/>
        <w:keepLines w:val="0"/>
        <w:pageBreakBefore w:val="0"/>
        <w:widowControl w:val="0"/>
        <w:kinsoku/>
        <w:wordWrap/>
        <w:overflowPunct/>
        <w:topLinePunct w:val="0"/>
        <w:autoSpaceDE/>
        <w:autoSpaceDN/>
        <w:bidi w:val="0"/>
        <w:adjustRightInd/>
        <w:snapToGrid w:val="0"/>
        <w:spacing w:line="38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Shijiazhuang Weida Engineering Control Equipment Co. , Ltd.</w:t>
      </w:r>
      <w:bookmarkEnd w:id="2"/>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石家庄裕华区槐北路465号</w:t>
      </w:r>
      <w:bookmarkEnd w:id="3"/>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380" w:lineRule="exact"/>
        <w:ind w:firstLine="632" w:firstLineChars="286"/>
        <w:textAlignment w:val="auto"/>
        <w:rPr>
          <w:b/>
          <w:color w:val="000000" w:themeColor="text1"/>
          <w:sz w:val="22"/>
          <w:szCs w:val="22"/>
          <w:u w:val="single"/>
        </w:rPr>
      </w:pPr>
      <w:r>
        <w:rPr>
          <w:rFonts w:hint="eastAsia"/>
          <w:b/>
          <w:color w:val="000000" w:themeColor="text1"/>
          <w:sz w:val="22"/>
          <w:szCs w:val="22"/>
        </w:rPr>
        <w:t>(英文)：No.465 Huaibei Road, Yuhua District, Shijiazhuang City</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u w:val="single"/>
        </w:rPr>
      </w:pPr>
      <w:r>
        <w:rPr>
          <w:rFonts w:hint="eastAsia"/>
          <w:b/>
          <w:color w:val="000000" w:themeColor="text1"/>
          <w:sz w:val="22"/>
          <w:szCs w:val="22"/>
        </w:rPr>
        <w:t>组织经营地址(中文)：</w:t>
      </w:r>
      <w:r>
        <w:rPr>
          <w:rFonts w:hint="eastAsia" w:cs="Times New Roman" w:asciiTheme="minorEastAsia" w:hAnsiTheme="minorEastAsia" w:eastAsiaTheme="minorEastAsia"/>
          <w:sz w:val="20"/>
          <w:lang w:val="en-US" w:eastAsia="zh-CN"/>
        </w:rPr>
        <w:t>石家庄高新区长江大道315号创新大厦12层，</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050000</w:t>
      </w:r>
      <w:bookmarkEnd w:id="5"/>
    </w:p>
    <w:p>
      <w:pPr>
        <w:pStyle w:val="2"/>
        <w:keepNext w:val="0"/>
        <w:keepLines w:val="0"/>
        <w:pageBreakBefore w:val="0"/>
        <w:widowControl w:val="0"/>
        <w:kinsoku/>
        <w:wordWrap/>
        <w:overflowPunct/>
        <w:topLinePunct w:val="0"/>
        <w:autoSpaceDE/>
        <w:autoSpaceDN/>
        <w:bidi w:val="0"/>
        <w:adjustRightInd/>
        <w:snapToGrid w:val="0"/>
        <w:spacing w:line="380" w:lineRule="exact"/>
        <w:ind w:firstLine="663" w:firstLineChars="300"/>
        <w:textAlignment w:val="auto"/>
        <w:rPr>
          <w:b/>
          <w:color w:val="000000" w:themeColor="text1"/>
          <w:sz w:val="22"/>
          <w:szCs w:val="22"/>
          <w:u w:val="single"/>
        </w:rPr>
      </w:pPr>
      <w:r>
        <w:rPr>
          <w:rFonts w:hint="eastAsia"/>
          <w:b/>
          <w:color w:val="000000" w:themeColor="text1"/>
          <w:sz w:val="22"/>
          <w:szCs w:val="22"/>
        </w:rPr>
        <w:t xml:space="preserve">(英文)：12/F, </w:t>
      </w:r>
      <w:r>
        <w:rPr>
          <w:rFonts w:hint="eastAsia"/>
          <w:b/>
          <w:color w:val="000000" w:themeColor="text1"/>
          <w:sz w:val="22"/>
          <w:szCs w:val="22"/>
          <w:lang w:val="en-US" w:eastAsia="zh-CN"/>
        </w:rPr>
        <w:t>I</w:t>
      </w:r>
      <w:r>
        <w:rPr>
          <w:rFonts w:hint="eastAsia"/>
          <w:b/>
          <w:color w:val="000000" w:themeColor="text1"/>
          <w:sz w:val="22"/>
          <w:szCs w:val="22"/>
        </w:rPr>
        <w:t>nnovation building, 315 Changjiang Avenue, High tech Zone</w:t>
      </w:r>
      <w:r>
        <w:rPr>
          <w:rFonts w:hint="eastAsia"/>
          <w:b/>
          <w:color w:val="000000" w:themeColor="text1"/>
          <w:sz w:val="22"/>
          <w:szCs w:val="22"/>
          <w:lang w:eastAsia="zh-CN"/>
        </w:rPr>
        <w:t>，</w:t>
      </w:r>
      <w:r>
        <w:rPr>
          <w:rFonts w:hint="eastAsia"/>
          <w:b/>
          <w:color w:val="000000" w:themeColor="text1"/>
          <w:sz w:val="22"/>
          <w:szCs w:val="22"/>
        </w:rPr>
        <w:t>Shijiazhuang City</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91130108568906593P</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13091007518</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80" w:lineRule="exact"/>
        <w:ind w:firstLine="0"/>
        <w:textAlignment w:val="auto"/>
        <w:rPr>
          <w:b/>
          <w:color w:val="000000" w:themeColor="text1"/>
          <w:sz w:val="22"/>
          <w:szCs w:val="22"/>
          <w:u w:val="single"/>
        </w:rPr>
      </w:pPr>
      <w:r>
        <w:rPr>
          <w:rFonts w:hint="eastAsia"/>
          <w:b/>
          <w:color w:val="000000" w:themeColor="text1"/>
          <w:sz w:val="22"/>
          <w:szCs w:val="22"/>
        </w:rPr>
        <w:t>法人代表：管代/联系人(职务)：</w:t>
      </w:r>
      <w:bookmarkStart w:id="9" w:name="管理者代表"/>
      <w:r>
        <w:rPr>
          <w:rFonts w:hint="eastAsia"/>
          <w:b/>
          <w:color w:val="000000" w:themeColor="text1"/>
          <w:sz w:val="22"/>
          <w:szCs w:val="22"/>
        </w:rPr>
        <w:t>伊俊峰</w:t>
      </w:r>
      <w:bookmarkEnd w:id="9"/>
      <w:r>
        <w:rPr>
          <w:rFonts w:hint="eastAsia"/>
          <w:b/>
          <w:color w:val="000000" w:themeColor="text1"/>
          <w:sz w:val="22"/>
          <w:szCs w:val="22"/>
          <w:lang w:eastAsia="zh-CN"/>
        </w:rPr>
        <w:t>，</w:t>
      </w:r>
      <w:r>
        <w:rPr>
          <w:rFonts w:hint="eastAsia"/>
          <w:b/>
          <w:color w:val="000000" w:themeColor="text1"/>
          <w:sz w:val="22"/>
          <w:szCs w:val="22"/>
        </w:rPr>
        <w:t>组织人数：</w:t>
      </w:r>
      <w:bookmarkStart w:id="10" w:name="体系人数"/>
      <w:r>
        <w:rPr>
          <w:b/>
          <w:color w:val="000000" w:themeColor="text1"/>
          <w:sz w:val="22"/>
          <w:szCs w:val="22"/>
          <w:u w:val="single"/>
        </w:rPr>
        <w:t>22</w:t>
      </w:r>
      <w:bookmarkEnd w:id="10"/>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监查1</w:t>
      </w:r>
      <w:bookmarkEnd w:id="12"/>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u w:val="single"/>
        </w:rPr>
      </w:pPr>
      <w:bookmarkStart w:id="13" w:name="审核范围"/>
      <w:r>
        <w:rPr>
          <w:rFonts w:hint="eastAsia"/>
          <w:b/>
          <w:color w:val="000000" w:themeColor="text1"/>
          <w:sz w:val="22"/>
          <w:szCs w:val="22"/>
        </w:rPr>
        <w:t>Q：一体化节流装置的生产，电气自动化设备的研发及其售后服务</w:t>
      </w:r>
    </w:p>
    <w:bookmarkEnd w:id="13"/>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lang w:val="en-US" w:eastAsia="zh-CN"/>
        </w:rPr>
        <w:t>英文：Production of integrated throttling device, research and development of electrical automation equipment and after-sales service</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0"/>
        <w:textAlignment w:val="auto"/>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bookmarkStart w:id="14" w:name="_GoBack"/>
      <w:r>
        <w:rPr>
          <w:rFonts w:hint="eastAsia" w:ascii="宋体" w:hAnsi="宋体" w:eastAsia="宋体"/>
          <w:b/>
          <w:color w:val="000000" w:themeColor="text1"/>
          <w:sz w:val="18"/>
          <w:szCs w:val="18"/>
          <w:lang w:eastAsia="zh-CN"/>
        </w:rPr>
        <w:drawing>
          <wp:inline distT="0" distB="0" distL="114300" distR="114300">
            <wp:extent cx="6177915" cy="8777605"/>
            <wp:effectExtent l="0" t="0" r="6985" b="10795"/>
            <wp:docPr id="2" name="图片 2" descr="新文档 2021-03-12 11.47.5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3-12 11.47.51_7"/>
                    <pic:cNvPicPr>
                      <a:picLocks noChangeAspect="1"/>
                    </pic:cNvPicPr>
                  </pic:nvPicPr>
                  <pic:blipFill>
                    <a:blip r:embed="rId5"/>
                    <a:stretch>
                      <a:fillRect/>
                    </a:stretch>
                  </pic:blipFill>
                  <pic:spPr>
                    <a:xfrm>
                      <a:off x="0" y="0"/>
                      <a:ext cx="6177915" cy="8777605"/>
                    </a:xfrm>
                    <a:prstGeom prst="rect">
                      <a:avLst/>
                    </a:prstGeom>
                  </pic:spPr>
                </pic:pic>
              </a:graphicData>
            </a:graphic>
          </wp:inline>
        </w:drawing>
      </w:r>
      <w:bookmarkEnd w:id="14"/>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3902B"/>
    <w:multiLevelType w:val="singleLevel"/>
    <w:tmpl w:val="E32390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3254F2"/>
    <w:rsid w:val="52044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2021-03-18T07:32:40Z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DA9CCACE06F34436A1AB3291255FEA92</vt:lpwstr>
  </property>
</Properties>
</file>