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before="163" w:beforeLines="50" w:after="163" w:afterLines="50"/>
        <w:rPr>
          <w:rFonts w:hint="eastAsia" w:ascii="隶书" w:hAnsi="宋体" w:eastAsia="隶书"/>
          <w:bCs/>
          <w:color w:val="FF0000"/>
          <w:sz w:val="36"/>
          <w:szCs w:val="36"/>
        </w:rPr>
      </w:pPr>
      <w:r>
        <w:rPr>
          <w:rFonts w:hint="eastAsia" w:ascii="宋体" w:hAnsi="宋体"/>
        </w:rPr>
        <w:t>核现场及区域: 办公室   审</w:t>
      </w:r>
      <w:r>
        <w:rPr>
          <w:rFonts w:hint="eastAsia" w:ascii="宋体" w:hAnsi="宋体"/>
          <w:szCs w:val="22"/>
        </w:rPr>
        <w:t>核员：张</w:t>
      </w:r>
      <w:r>
        <w:rPr>
          <w:rFonts w:hint="eastAsia" w:ascii="宋体" w:hAnsi="宋体"/>
          <w:szCs w:val="22"/>
        </w:rPr>
        <w:t>心 皮为兵  审核</w:t>
      </w:r>
      <w:r>
        <w:rPr>
          <w:rFonts w:hint="eastAsia" w:ascii="宋体" w:hAnsi="宋体"/>
        </w:rPr>
        <w:t xml:space="preserve">时间:  </w:t>
      </w:r>
      <w:r>
        <w:rPr>
          <w:rFonts w:hint="eastAsia"/>
          <w:color w:val="000000"/>
          <w:szCs w:val="21"/>
        </w:rPr>
        <w:t>2019年10月17日</w:t>
      </w:r>
      <w:r>
        <w:rPr>
          <w:rFonts w:hint="eastAsia"/>
          <w:color w:val="000000"/>
          <w:szCs w:val="21"/>
          <w:lang w:val="en-US" w:eastAsia="zh-CN"/>
        </w:rPr>
        <w:t xml:space="preserve">  陪同：吴红妮</w:t>
      </w:r>
    </w:p>
    <w:tbl>
      <w:tblPr>
        <w:tblStyle w:val="5"/>
        <w:tblW w:w="1511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9746"/>
        <w:gridCol w:w="1287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17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  查  表</w:t>
            </w:r>
          </w:p>
        </w:tc>
        <w:tc>
          <w:tcPr>
            <w:tcW w:w="9746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 核   记   录</w:t>
            </w:r>
          </w:p>
        </w:tc>
        <w:tc>
          <w:tcPr>
            <w:tcW w:w="1287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条款号</w:t>
            </w:r>
          </w:p>
        </w:tc>
        <w:tc>
          <w:tcPr>
            <w:tcW w:w="905" w:type="dxa"/>
            <w:shd w:val="clear" w:color="auto" w:fill="E6E6E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管理体系文件名称</w:t>
            </w:r>
          </w:p>
        </w:tc>
        <w:tc>
          <w:tcPr>
            <w:tcW w:w="9746" w:type="dxa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  <w:bookmarkStart w:id="0" w:name="组织名称"/>
            <w:r>
              <w:rPr>
                <w:color w:val="000000"/>
                <w:szCs w:val="21"/>
              </w:rPr>
              <w:t>重庆博鼎建筑设计有限公司</w:t>
            </w:r>
            <w:bookmarkEnd w:id="0"/>
            <w:r>
              <w:rPr>
                <w:rFonts w:hint="eastAsia"/>
                <w:sz w:val="21"/>
                <w:szCs w:val="21"/>
                <w:lang w:eastAsia="zh-CN"/>
              </w:rPr>
              <w:t>是一家专业从事</w:t>
            </w:r>
            <w:bookmarkStart w:id="1" w:name="审核范围"/>
            <w:r>
              <w:rPr>
                <w:rFonts w:hint="eastAsia" w:ascii="宋体" w:hAnsi="宋体"/>
                <w:szCs w:val="21"/>
              </w:rPr>
              <w:t>资质范围内建筑工程设计</w:t>
            </w:r>
            <w:bookmarkEnd w:id="1"/>
            <w:r>
              <w:rPr>
                <w:rFonts w:hint="eastAsia" w:ascii="宋体" w:hAnsi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公司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该公司目前成立了三个部门：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设计部、总工办、综合部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抽查：组织机构图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、职能分配表、职责描述，基本保持一致。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经核实：现场核实地址为：</w:t>
            </w:r>
            <w:bookmarkStart w:id="2" w:name="生产地址"/>
            <w:r>
              <w:rPr>
                <w:rFonts w:hint="eastAsia"/>
                <w:color w:val="000000"/>
                <w:szCs w:val="21"/>
                <w:lang w:val="en-US" w:eastAsia="zh-CN"/>
              </w:rPr>
              <w:t>重庆市渝中区大坪正街118号1幢7-1#</w:t>
            </w:r>
            <w:bookmarkEnd w:id="2"/>
            <w:r>
              <w:rPr>
                <w:rFonts w:hint="eastAsia"/>
                <w:color w:val="000000"/>
                <w:szCs w:val="21"/>
                <w:lang w:val="en-US" w:eastAsia="zh-CN"/>
              </w:rPr>
              <w:t>，与任务书描述一致。经确认，认证申请范围为：资质范围内建筑工程设计 。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询问，主要设备为</w:t>
            </w:r>
            <w:r>
              <w:rPr>
                <w:rFonts w:hint="eastAsia" w:ascii="宋体" w:hAnsi="宋体" w:cs="宋体"/>
                <w:sz w:val="21"/>
                <w:szCs w:val="21"/>
              </w:rPr>
              <w:t>电脑、打印机、设计开发软件、空调、办公桌等办公设施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hint="eastAsia"/>
                <w:color w:val="000000"/>
                <w:szCs w:val="21"/>
              </w:rPr>
              <w:t>，可以满足</w:t>
            </w:r>
            <w:r>
              <w:rPr>
                <w:rFonts w:hint="eastAsia" w:ascii="宋体" w:hAnsi="宋体"/>
                <w:szCs w:val="21"/>
              </w:rPr>
              <w:t>资质范围内建筑工程设计</w:t>
            </w:r>
            <w:r>
              <w:rPr>
                <w:rFonts w:hint="eastAsia"/>
                <w:color w:val="000000"/>
                <w:szCs w:val="21"/>
              </w:rPr>
              <w:t>需要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关键过程：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/>
                <w:color w:val="000000"/>
                <w:szCs w:val="21"/>
              </w:rPr>
              <w:t>过程。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体</w:t>
            </w:r>
            <w:r>
              <w:rPr>
                <w:rFonts w:hint="eastAsia"/>
                <w:color w:val="000000"/>
                <w:szCs w:val="21"/>
                <w:lang w:eastAsia="zh-CN"/>
              </w:rPr>
              <w:t>系运行时间：2017年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  <w:lang w:eastAsia="zh-CN"/>
              </w:rPr>
              <w:t>月24日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组织实际与管理体系文件化信息描述基本一致。有管理层、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设计部、总工办、综合部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产品流程见《工艺流程》</w:t>
            </w:r>
          </w:p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查，管理体系文件名称管理手册，程序文件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个。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产品质量监督抽查情况（QMS）</w:t>
            </w:r>
          </w:p>
        </w:tc>
        <w:tc>
          <w:tcPr>
            <w:tcW w:w="974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cs="Arial"/>
                <w:color w:val="000000"/>
                <w:sz w:val="21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《建设工程勘察设计市场管理规定》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建筑工程设计文件编制深度规定》、</w:t>
            </w:r>
            <w:r>
              <w:rPr>
                <w:rFonts w:hint="eastAsia" w:ascii="宋体" w:hAnsi="宋体"/>
                <w:sz w:val="21"/>
                <w:szCs w:val="21"/>
              </w:rPr>
              <w:t>《房屋建筑制图统一标准》GB/T 50001--2010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《室外排水设计规范》GB 50014-2006）2016版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B50010-2010《混凝土结构设计规范》、GB50011-2010《建筑抗震设计规范》、GB50013-2006《室外给水设计规范》、GB50014-2006《室外排水设计规范》、《重庆市城乡规划条例》、《重庆市城市规划管理技术规定》、《重庆市建设领域禁止、限制使用落后技术通告》等标准。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年没有产品质量监督抽查情况</w:t>
            </w:r>
            <w:r>
              <w:rPr>
                <w:rFonts w:hint="eastAsia" w:ascii="宋体" w:hAnsi="宋体"/>
                <w:color w:val="0000FF"/>
                <w:sz w:val="21"/>
                <w:szCs w:val="21"/>
              </w:rPr>
              <w:t>。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175" w:type="dxa"/>
            <w:noWrap w:val="0"/>
            <w:vAlign w:val="top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生产工艺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不适用条款的确认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外包的识别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质量目标（QMS）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</w:p>
        </w:tc>
        <w:tc>
          <w:tcPr>
            <w:tcW w:w="9746" w:type="dxa"/>
            <w:noWrap w:val="0"/>
            <w:vAlign w:val="top"/>
          </w:tcPr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设计服务过程：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合同签订-设计输入交付（甲方提供）--方案设计-初步设计-施工图设计-评审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/>
                <w:sz w:val="21"/>
                <w:szCs w:val="21"/>
                <w:lang w:val="zh-CN" w:eastAsia="zh-CN"/>
              </w:rPr>
              <w:t>设计变更（需要时）-交付客户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无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图文印刷。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a) 设计成果一次交验合格率≥98%；b) 合同履约率为100%；c) 顾客满意率达≥90%；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主要原材料</w:t>
            </w:r>
          </w:p>
        </w:tc>
        <w:tc>
          <w:tcPr>
            <w:tcW w:w="9746" w:type="dxa"/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万州区外调猪肉集中查验点项目、重庆城市职业学院足球场塑胶跑道、人工草坪工程项目、北京城建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龙樾生态城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C37-1/07项目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A4、打印纸和墨盒等办公用品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特殊工种人员</w:t>
            </w:r>
          </w:p>
        </w:tc>
        <w:tc>
          <w:tcPr>
            <w:tcW w:w="974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设计人员32人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主要检测设备及设备的检定/校准（QMS）</w:t>
            </w:r>
          </w:p>
        </w:tc>
        <w:tc>
          <w:tcPr>
            <w:tcW w:w="974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电脑、打印机、设计开发软件、空调、办公桌等办公设施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/>
                <w:szCs w:val="21"/>
              </w:rPr>
              <w:t>，可以满足资质范围内建筑工程设计需要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主要根据客户提供的图纸、勘察资料等进行设计，不用勘察、测量，设计成果通过评审鉴定方式确认，不涉及检测设备。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顾客及相关方投诉</w:t>
            </w:r>
          </w:p>
        </w:tc>
        <w:tc>
          <w:tcPr>
            <w:tcW w:w="9746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暂无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746" w:type="dxa"/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方针：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科学规划  精心设计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求实创新  优质服务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不符合及整改</w:t>
            </w:r>
          </w:p>
        </w:tc>
        <w:tc>
          <w:tcPr>
            <w:tcW w:w="974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建立有《内部审核控制程序》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见有《内部审核计划表》 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内审时间：</w:t>
            </w:r>
            <w:r>
              <w:rPr>
                <w:rFonts w:hint="eastAsia"/>
                <w:sz w:val="21"/>
                <w:szCs w:val="21"/>
                <w:lang w:eastAsia="zh-CN"/>
              </w:rPr>
              <w:t>2019年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月10日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内审组：组  长：吴红妮（管代、综合部）      组  员：张萍萍（设计部）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见有：《内审不符合项报告》1份 涉及</w:t>
            </w:r>
            <w:r>
              <w:rPr>
                <w:rFonts w:hint="eastAsia"/>
                <w:sz w:val="21"/>
                <w:szCs w:val="21"/>
                <w:lang w:eastAsia="zh-CN"/>
              </w:rPr>
              <w:t>总经办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8.2.3条款，内审现场查见总工办</w:t>
            </w:r>
            <w:r>
              <w:rPr>
                <w:rFonts w:hint="eastAsia" w:ascii="宋体" w:hAnsi="宋体" w:cs="宋体"/>
                <w:color w:val="000000"/>
                <w:szCs w:val="24"/>
                <w:lang w:eastAsia="zh-CN"/>
              </w:rPr>
              <w:t>未提供对</w:t>
            </w:r>
            <w:r>
              <w:rPr>
                <w:rFonts w:hint="eastAsia" w:ascii="宋体" w:hAnsi="宋体" w:cs="宋体"/>
                <w:color w:val="000000"/>
                <w:szCs w:val="24"/>
                <w:lang w:val="en-US" w:eastAsia="zh-CN"/>
              </w:rPr>
              <w:t>与客户重庆御辉地产开发有限公司签订合同进行评审的证据</w:t>
            </w:r>
            <w:bookmarkStart w:id="3" w:name="_GoBack"/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，针对该不符合项，已及时采取纠正措施后，经内审员验证关闭。有《内部审报告》，有审核结论。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31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74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查见《管理评审计划》、《管理评审会议记录》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管理评审于2019年6月8日由总经理主持完成。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提供主要输入材料有：各部门总结，输入信息基本充分和满足要求。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输出见“管理评审报告”, 做出了管理体系基本适宜、充分和有效的评审结论。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提出改进项：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进一步对员进行体系文件的培训。使工作更加符合文件要求。</w:t>
            </w:r>
          </w:p>
          <w:p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相关部门定期组织培训，逐步建立企业文化。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441A6E"/>
    <w:rsid w:val="1F65396C"/>
    <w:rsid w:val="223212A6"/>
    <w:rsid w:val="2A6D3D96"/>
    <w:rsid w:val="49851594"/>
    <w:rsid w:val="516D2CB1"/>
    <w:rsid w:val="61A74045"/>
    <w:rsid w:val="63D45391"/>
    <w:rsid w:val="6B0B3124"/>
    <w:rsid w:val="6E552F77"/>
    <w:rsid w:val="6F84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</cp:lastModifiedBy>
  <dcterms:modified xsi:type="dcterms:W3CDTF">2019-10-22T05:48:49Z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