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四川鸿源环境检测技术咨询有限公司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Q:34.02.00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E:34.02.00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检测服务流程：接受委托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前期技术准备---开展现场监测---现场采集抽样——进行实验分析--编制监测报告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报告审核——交付报告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评价验收流程：接受委托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现场调查---收集资料---编制评价报告——报告审核——交付报告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监测、编制报告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潜在火灾，固废排放，污水排放，化学药品泄漏挥发，管理方案和应急预案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潜在火灾，触电，交通意外伤害，化学品烧伤、中毒、烫伤，机械伤害，管理方案和应急预案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环境空气.PM&lt;下标 10&gt;和PM&lt;下标 2.5&gt;的测定.重量法Hj 618-2011、天然气.含硫化合物的测定.第2部分:用亚甲蓝法测定硫化氢含量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11060.2-2008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、二次供水设施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卫生规范GB 17051-1997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、工作场所空气有毒物质测定 第1部分：总则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GBZ/T 300.1-2017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、生活饮用水标准检验方法 消毒剂指标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5750.11-2006 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生活饮用水标准检验方法 金属指标GB/T 5750.6-2006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、室内空气质量标准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18883-2002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工作场所、工作场所空气有毒物质测定第23部分:锶及其化合物GBZ/T300.23-2017、工作场所空气有毒物质测定第24部分:钽及其化合物GBz/m30024-2017化锡、工作场所空气有毒物质测定第26部分:锡及其化合物GBz/T300.26-2017等标准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记录和报告规范性、标准符合性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3014980</wp:posOffset>
                  </wp:positionH>
                  <wp:positionV relativeFrom="page">
                    <wp:posOffset>466725</wp:posOffset>
                  </wp:positionV>
                  <wp:extent cx="824865" cy="512445"/>
                  <wp:effectExtent l="0" t="0" r="13335" b="5715"/>
                  <wp:wrapNone/>
                  <wp:docPr id="1" name="图片 2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28575</wp:posOffset>
                  </wp:positionH>
                  <wp:positionV relativeFrom="page">
                    <wp:posOffset>412750</wp:posOffset>
                  </wp:positionV>
                  <wp:extent cx="824865" cy="512445"/>
                  <wp:effectExtent l="0" t="0" r="13335" b="5715"/>
                  <wp:wrapNone/>
                  <wp:docPr id="2" name="图片 3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2021.3.5</w:t>
      </w:r>
      <w:r>
        <w:rPr>
          <w:rFonts w:ascii="宋体"/>
          <w:b/>
          <w:sz w:val="24"/>
          <w:szCs w:val="24"/>
        </w:rPr>
        <w:t xml:space="preserve">  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2021.3.5</w:t>
      </w:r>
      <w:r>
        <w:rPr>
          <w:rFonts w:ascii="宋体"/>
          <w:b/>
          <w:sz w:val="24"/>
          <w:szCs w:val="24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4F60AA"/>
    <w:rsid w:val="3C1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2021-03-08T13:52:37Z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