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邹敏峰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廖玉丽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2021.3.8-9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  <w:r>
              <w:rPr>
                <w:rFonts w:hint="eastAsia" w:ascii="宋体" w:hAnsi="宋体" w:cs="Arial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 5.3</w:t>
            </w:r>
          </w:p>
        </w:tc>
        <w:tc>
          <w:tcPr>
            <w:tcW w:w="10606" w:type="dxa"/>
          </w:tcPr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a)负责文件、记录的控制、管理；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b)负责进行员工岗位能力考核、制定并实施公司培训计划及有效性评价；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c)负责组织进行与与顾客的沟通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d)负责采购控制；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f)负责管理评审的准备工作，收集管理评审所需资料并保存。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g)负责组织内部审核的实施，负责与内审有关文件的收发，整理、保存内审记录；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h)负责公司环境和职业健康安全管理资金的及时提供；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i)负责公司财务的管理和资金的管理与运作；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j)负责职工医疗、养老、失业、生育、工伤保险等基金的交纳和管理；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k)向分管领导和管理评审报告本部门管理体系运行情况和改进建议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l)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负责组织相关部门识别公司及各部门的危险源，并制定措施，进行控制；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m)负责组织相关部门收集、识别、更新公司适用的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环境、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职业健康安全法律法规；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n)负责公司的消防日常管理，制订应急预案，组织消防演练。</w:t>
            </w:r>
          </w:p>
          <w:p>
            <w:pPr>
              <w:spacing w:before="215" w:beforeLines="69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pict>
                <v:shape id="_x0000_i1025" o:spt="75" type="#_x0000_t75" style="height:184.5pt;width:322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autoSpaceDE w:val="0"/>
              <w:autoSpaceDN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20年12月30日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经考核已完成。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360" w:lineRule="auto"/>
            </w:pPr>
            <w:r>
              <w:pict>
                <v:shape id="_x0000_i1026" o:spt="75" type="#_x0000_t75" style="height:224.5pt;width:450.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pict>
                <v:shape id="_x0000_i1027" o:spt="75" type="#_x0000_t75" style="height:186.5pt;width:456.5pt;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管理方案由责任部门组织实施，已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ascii="楷体" w:hAnsi="楷体" w:eastAsia="楷体" w:cs="Arial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企业配置了适宜的人员：如管理人员、技术人员、销售人员等；人员配置基本满足日常管理体系运行要求。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查到“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度人员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培训计划”，编制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邹敏峰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游佳昕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20.3.11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日。培训内容涉及：标准、体系文件、内审员、岗位技能、作业指导书、相关法规、安全生产、产品知识培训等。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、《培训记录及培训效果评价表》，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日体系文件（制度汇编、作业指导书）培训，记录了培训内容摘要，通过现场提问答辩对培训效果予以考核评价，考核合格率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日环境安全法律法规培训，培训方式授课，有培训内容摘要，经现场讨论考核合格率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日岗位技能培训，培训方式授课，有培训内容摘要，经现场讨论考核合格率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日基础知识、体系标准、应知内容，培训方式授课，有培训内容摘要，经现场讨论考核合格率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参加培训人员：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邹敏峰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游佳昕 廖玉丽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文件控制程序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；《环境、职业健康安全管理体系程序文件》版本：</w:t>
            </w:r>
            <w:r>
              <w:rPr>
                <w:rFonts w:ascii="楷体" w:hAnsi="楷体" w:eastAsia="楷体" w:cs="宋体"/>
                <w:sz w:val="24"/>
                <w:szCs w:val="24"/>
              </w:rPr>
              <w:t>A/0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，以及相关运行记录等。以上文件编制人：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，审核人：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邹敏峰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游佳昕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，发布实施日期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ISO14001:2015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</w:t>
            </w:r>
            <w:r>
              <w:rPr>
                <w:rFonts w:ascii="楷体" w:hAnsi="楷体" w:eastAsia="楷体" w:cs="宋体"/>
                <w:sz w:val="24"/>
                <w:szCs w:val="24"/>
              </w:rPr>
              <w:t>ISO45001:2018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查见《外来、受控清单》，登录有手册、程序、管理规定、生产现场管理制度、组装作业指导书等受控文件，包含了体系要求的成文信息，文件规定基本符合组织实际，满足标准要求。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抽查：《应急准备和响应程序》、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《合规性评价程序》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、《纠正措施和预防措施控制程序》等体系文件，均有编制、审批人员签名，符合要求。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提供了《文件发放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回收记录》，所有文件均由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部发放，录有管理手册、程序及标准、法律法规等外来文件。显示文件发放均有文件名称、编号、分发号、版本，发放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回收日期等。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pStyle w:val="17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部负责通过到主管部门、网上收集、标准发布部门进行购买，并对外来文件的识别、跟踪、控制。查到：《法律法规清单》，有：《中华人民共和国环境保护法》、《中华人民共和国安全生产法》、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产品标准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查作废文件控制：自新版体系文件运行以来文件未修改修订。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查到了“记录清单”，记录设置符合公司实施运行要求，基本包含了体系要求的相关记录；《记录清单》，内容清晰，规定了记录的名称、编号、保存期限等信息。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现场查阅了记录：《采购计划》、《应急预案演练记录》、《内审报告》、《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安全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内务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检查记录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  <w:r>
              <w:rPr>
                <w:rFonts w:ascii="楷体" w:hAnsi="楷体" w:eastAsia="楷体" w:cs="Arial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部门，主要统筹负责识别评价相关的环境因素及危险源。根据各部门识别及各办公、采购、销售过程环节识别，由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综合管理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采取多因子评价法进行了评价，查到“重要环境因素清单”，评价出固体废弃物排放、火灾事故的发生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查“危险源风险评价表”，识别了办公、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过程中的危险源。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部的危险源有办公活动过程中地面湿滑滑倒、火灾、开水烫伤、触电、违章驾驶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人身伤害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对识别出的危险源采取</w:t>
            </w:r>
            <w:r>
              <w:rPr>
                <w:rFonts w:ascii="楷体" w:hAnsi="楷体" w:eastAsia="楷体" w:cs="楷体"/>
                <w:sz w:val="24"/>
                <w:szCs w:val="24"/>
              </w:rPr>
              <w:t>D=LEC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进行评价，查到“重大危险源清单”，评价出重大危险源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个，包括：火灾、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部的重大危险源：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人身伤害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事故、火灾事故。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</w:t>
            </w:r>
            <w:r>
              <w:rPr>
                <w:rFonts w:ascii="楷体" w:hAnsi="楷体" w:eastAsia="楷体" w:cs="楷体"/>
                <w:sz w:val="24"/>
                <w:szCs w:val="24"/>
              </w:rPr>
              <w:t>ES8.1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</w:t>
            </w:r>
            <w:r>
              <w:rPr>
                <w:rFonts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编制了《法律法规和其他要求控制程序》，对法律法规的识别更新和应用进行规定，办公室为主控部门。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适用的法律法规及其他要求一览表》，识别了企业相关环境和职业健康安全法律法规、标准和其他要求。如《中华人民共和国环境影响评价法》、《中华人民共和国安全生产法》、《中华人民共和国环境噪声污染防治法》、《中华人民共和国职业病防治法》、《中华人民共和国消防法》、《中华人民共和国大气污染防治法》、《国家危险废物名录》、《城市生活垃圾管理办法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已识别法律法规及其它要求的适用条款，并与环境因素、危险源进行了对应。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公司法律、法规及其它要求都有现行文本，大部分为电子版本。各部门如有需要到办公室查阅。公司通过培训、会议等方式向有关员工传达法律、法规及其它要求的相关要求。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EO6.1.4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E/S:9.1.2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现场提供了《法律、法规和其他要求符合性评价记录》、《合规性评价报告》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评价人：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邹敏峰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评价日期：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E/S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ascii="楷体" w:hAnsi="楷体" w:eastAsia="楷体" w:cs="楷体"/>
                <w:sz w:val="24"/>
                <w:szCs w:val="24"/>
              </w:rPr>
              <w:t>9.1.1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管理体系目标考核按季度进行，抽查到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6-12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目标考核记录，经考核公司和分解各部门管理目标均已完成。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查到《环境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检查记录》，检查项目内容涉及：</w:t>
            </w:r>
          </w:p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办公区域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地面无烟头、纸屑等杂物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固废分类处理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卫生间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干净卫生，无杂物，无较大异味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抽查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3-12月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运行检查记录，检查结果均正常，检查人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邹敏峰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未有上级主管部门的监督检查。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E/S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宋体" w:hAnsi="宋体"/>
                <w:spacing w:val="20"/>
                <w:sz w:val="24"/>
                <w:lang w:val="de-DE"/>
              </w:rPr>
              <w:t>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江西省萍乡市芦溪县南坑镇团丰村工业园26号</w:t>
            </w:r>
            <w:bookmarkEnd w:id="0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部定期组织环保和安全知识培训，员工具备了基本的环保和职业健康安全防护意识，见</w:t>
            </w:r>
            <w:r>
              <w:rPr>
                <w:rFonts w:ascii="楷体" w:hAnsi="楷体" w:eastAsia="楷体" w:cs="楷体"/>
                <w:sz w:val="24"/>
                <w:szCs w:val="24"/>
              </w:rPr>
              <w:t>7.3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pict>
                <v:shape id="_x0000_i1028" o:spt="75" type="#_x0000_t75" style="height:306pt;width:256.5pt;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5.8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pict>
                <v:shape id="_x0000_i1032" o:spt="75" alt="f797647cd1c482aeaaac8b139365953" type="#_x0000_t75" style="height:349.7pt;width:262.25pt;" filled="f" o:preferrelative="t" stroked="f" coordsize="21600,21600">
                  <v:path/>
                  <v:fill on="f" focussize="0,0"/>
                  <v:stroke on="f"/>
                  <v:imagedata r:id="rId10" o:title="f797647cd1c482aeaaac8b139365953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pict>
                <v:shape id="_x0000_i1029" o:spt="75" type="#_x0000_t75" style="height:228.5pt;width:363pt;" filled="f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120" w:line="240" w:lineRule="auto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综合部仓库未按要求配置灭火器。开具了不符合。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Cs/>
                <w:sz w:val="24"/>
                <w:szCs w:val="24"/>
              </w:rPr>
              <w:t>E/S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ind w:firstLine="240" w:firstLineChars="1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触电、高温中暑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应急预案</w:t>
            </w:r>
          </w:p>
          <w:p>
            <w:pP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见：《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预案演练记录》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演练时间 ：20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演练地点：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公司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演练部门：全体部门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和员工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参加人员各部门部长。过程记录详细。</w:t>
            </w:r>
          </w:p>
          <w:p>
            <w:pP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见：《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火灾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预案演练记录》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演练时间 ：20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演练地点：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公司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演练部门：全体部门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  <w:lang w:val="en-US" w:eastAsia="zh-CN"/>
              </w:rPr>
              <w:t>和员工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参加人员各部门部长。过程记录详细。</w:t>
            </w:r>
          </w:p>
          <w:p>
            <w:pPr>
              <w:pStyle w:val="17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演练中不但讲解了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触电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自体系运行以来尚未发生紧急情况。</w:t>
            </w:r>
          </w:p>
          <w:p>
            <w:pPr>
              <w:pStyle w:val="17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》，通过视频看到公司已经恢复销售，员工佩带口罩在岗位上操作，进出办公区域测量体温，严格按政府和预案的要求执行。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邹敏峰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28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审核组构成：组长：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邹敏峰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廖玉丽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 审核时间20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2.审核按计划进行，抽查检查表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销售部，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1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内部审核结论：提供了《内部审核报告》，对现场审核进行了综述，对质量环境安全管理体系进行了符合性的综合评价，最后结论为：公司的质量环境安全管理体系基本符合标准要求，运行有效。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30" o:spt="75" alt="637062e2b1aa5db26ad5c248b5e1854" type="#_x0000_t75" style="height:338.2pt;width:253.6pt;" filled="f" o:preferrelative="t" stroked="f" coordsize="21600,21600">
                  <v:path/>
                  <v:fill on="f" focussize="0,0"/>
                  <v:stroke on="f"/>
                  <v:imagedata r:id="rId12" o:title="637062e2b1aa5db26ad5c248b5e1854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pict>
                <v:shape id="_x0000_i1031" o:spt="75" alt="a1e71d012d814e0444f426a42aeb397" type="#_x0000_t75" style="height:339.15pt;width:254.3pt;" filled="f" o:preferrelative="t" stroked="f" coordsize="21600,21600">
                  <v:path/>
                  <v:fill on="f" focussize="0,0"/>
                  <v:stroke on="f"/>
                  <v:imagedata r:id="rId13" o:title="a1e71d012d814e0444f426a42aeb397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EO10.2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不合格的发生，不符合得到了有效控制，人员环保、安全意识有了明显提高，没有发现潜在的不符合，没有发生重大质量事故和投诉处罚，没有发生环境、职业健康安全事件和投诉处罚。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61B3FA5"/>
    <w:rsid w:val="10513DE6"/>
    <w:rsid w:val="1A567EE1"/>
    <w:rsid w:val="1B8A145E"/>
    <w:rsid w:val="1FB66C24"/>
    <w:rsid w:val="23641043"/>
    <w:rsid w:val="2931136E"/>
    <w:rsid w:val="30755036"/>
    <w:rsid w:val="3EC30777"/>
    <w:rsid w:val="3F7842C8"/>
    <w:rsid w:val="449317F4"/>
    <w:rsid w:val="44FB735A"/>
    <w:rsid w:val="55C04EE5"/>
    <w:rsid w:val="55DB5DDE"/>
    <w:rsid w:val="5E410808"/>
    <w:rsid w:val="6B64026B"/>
    <w:rsid w:val="75C93055"/>
    <w:rsid w:val="78375207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正文文本缩进 Char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6">
    <w:name w:val="正文首行缩进 2 Char"/>
    <w:link w:val="7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8">
    <w:name w:val="纯文本 Char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4207</Words>
  <Characters>23982</Characters>
  <Lines>199</Lines>
  <Paragraphs>56</Paragraphs>
  <TotalTime>2</TotalTime>
  <ScaleCrop>false</ScaleCrop>
  <LinksUpToDate>false</LinksUpToDate>
  <CharactersWithSpaces>28133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2021-03-09T07:05:36Z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