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重庆晟元机械制造有限公司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重庆晟元机械制造有限公司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重庆市璧山区丁家街道经济开发区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402766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重庆市璧山区丁家街道迎宾大道6号1幢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402766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023-41582326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胡晓露</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胡晓露</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工装夹具、非标量具（塞规）的设计及生产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生产部、质检部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供销部</w:t>
            </w:r>
          </w:p>
        </w:tc>
        <w:tc>
          <w:tcPr>
            <w:tcW w:w="6804" w:type="dxa"/>
          </w:tcPr>
          <w:p>
            <w:pPr>
              <w:jc w:val="both"/>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3087"/>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308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434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rPr>
                <w:b/>
                <w:color w:val="000000" w:themeColor="text1"/>
                <w:sz w:val="20"/>
                <w:szCs w:val="20"/>
              </w:rPr>
            </w:pPr>
            <w:r>
              <w:rPr>
                <w:sz w:val="20"/>
              </w:rPr>
              <w:t>工装夹具、非标量具（塞规）的设计及生产</w:t>
            </w:r>
          </w:p>
        </w:tc>
        <w:tc>
          <w:tcPr>
            <w:tcW w:w="3087" w:type="dxa"/>
          </w:tcPr>
          <w:p>
            <w:pPr>
              <w:rPr>
                <w:b/>
                <w:color w:val="000000" w:themeColor="text1"/>
                <w:sz w:val="20"/>
                <w:szCs w:val="20"/>
              </w:rPr>
            </w:pPr>
          </w:p>
        </w:tc>
        <w:tc>
          <w:tcPr>
            <w:tcW w:w="4342" w:type="dxa"/>
          </w:tcPr>
          <w:p>
            <w:pPr>
              <w:rPr>
                <w:b/>
                <w:color w:val="000000" w:themeColor="text1"/>
                <w:sz w:val="20"/>
                <w:szCs w:val="20"/>
              </w:rPr>
            </w:pPr>
            <w:r>
              <w:rPr>
                <w:rFonts w:hint="eastAsia" w:ascii="宋体" w:hAnsi="宋体" w:eastAsia="宋体" w:cs="宋体"/>
                <w:sz w:val="21"/>
                <w:szCs w:val="21"/>
              </w:rPr>
              <w:t>GB/T 1804-2000 一般公差 未注公差的线性和角度尺寸的公差</w:t>
            </w:r>
            <w:r>
              <w:rPr>
                <w:rFonts w:hint="eastAsia" w:ascii="宋体" w:hAnsi="宋体" w:eastAsia="宋体" w:cs="宋体"/>
                <w:sz w:val="21"/>
                <w:szCs w:val="21"/>
                <w:lang w:eastAsia="zh-CN"/>
              </w:rPr>
              <w:t>、</w:t>
            </w:r>
            <w:r>
              <w:rPr>
                <w:rFonts w:hint="eastAsia" w:ascii="宋体" w:hAnsi="宋体" w:eastAsia="宋体" w:cs="宋体"/>
                <w:sz w:val="21"/>
                <w:szCs w:val="21"/>
              </w:rPr>
              <w:t>JB/T 8044-1999</w:t>
            </w:r>
            <w:r>
              <w:rPr>
                <w:rFonts w:hint="default" w:ascii="宋体" w:hAnsi="宋体" w:eastAsia="宋体" w:cs="宋体"/>
                <w:sz w:val="21"/>
                <w:szCs w:val="21"/>
              </w:rPr>
              <w:t>机床夹具零件及部件技术要求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JB/T 8037-1999</w:t>
            </w:r>
            <w:r>
              <w:rPr>
                <w:rFonts w:hint="default" w:ascii="宋体" w:hAnsi="宋体" w:eastAsia="宋体" w:cs="宋体"/>
                <w:sz w:val="21"/>
                <w:szCs w:val="21"/>
                <w:lang w:val="en-US" w:eastAsia="zh-CN"/>
              </w:rPr>
              <w:t>机床夹具零件及部件螺塞</w:t>
            </w:r>
            <w:r>
              <w:rPr>
                <w:rFonts w:hint="eastAsia" w:ascii="宋体" w:hAnsi="宋体" w:eastAsia="宋体" w:cs="宋体"/>
                <w:sz w:val="21"/>
                <w:szCs w:val="21"/>
                <w:lang w:val="en-US" w:eastAsia="zh-CN"/>
              </w:rPr>
              <w:t>、</w:t>
            </w:r>
            <w:r>
              <w:rPr>
                <w:rFonts w:hint="eastAsia" w:ascii="宋体" w:hAnsi="宋体" w:eastAsia="宋体" w:cs="宋体"/>
                <w:sz w:val="21"/>
                <w:szCs w:val="21"/>
              </w:rPr>
              <w:t>T/CATA 0102-2017MJ螺纹塞规品种规格及技术要求</w:t>
            </w:r>
            <w:r>
              <w:rPr>
                <w:rFonts w:hint="eastAsia" w:ascii="宋体" w:hAnsi="宋体" w:eastAsia="宋体" w:cs="宋体"/>
                <w:sz w:val="21"/>
                <w:szCs w:val="21"/>
                <w:lang w:eastAsia="zh-CN"/>
              </w:rPr>
              <w:t>和客户要求</w:t>
            </w:r>
            <w:r>
              <w:rPr>
                <w:rFonts w:hint="eastAsia" w:ascii="宋体" w:hAnsi="宋体" w:eastAsia="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rPr>
                <w:b/>
                <w:color w:val="000000" w:themeColor="text1"/>
                <w:sz w:val="20"/>
                <w:szCs w:val="20"/>
              </w:rPr>
            </w:pPr>
          </w:p>
        </w:tc>
        <w:tc>
          <w:tcPr>
            <w:tcW w:w="3087" w:type="dxa"/>
          </w:tcPr>
          <w:p>
            <w:pPr>
              <w:rPr>
                <w:b/>
                <w:color w:val="000000" w:themeColor="text1"/>
                <w:sz w:val="20"/>
                <w:szCs w:val="20"/>
              </w:rPr>
            </w:pPr>
          </w:p>
        </w:tc>
        <w:tc>
          <w:tcPr>
            <w:tcW w:w="434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pPr>
              <w:rPr>
                <w:b/>
                <w:color w:val="000000" w:themeColor="text1"/>
                <w:sz w:val="20"/>
                <w:szCs w:val="20"/>
              </w:rPr>
            </w:pPr>
          </w:p>
        </w:tc>
        <w:tc>
          <w:tcPr>
            <w:tcW w:w="3087" w:type="dxa"/>
          </w:tcPr>
          <w:p>
            <w:pPr>
              <w:rPr>
                <w:b/>
                <w:color w:val="000000" w:themeColor="text1"/>
                <w:sz w:val="20"/>
                <w:szCs w:val="20"/>
              </w:rPr>
            </w:pPr>
          </w:p>
        </w:tc>
        <w:tc>
          <w:tcPr>
            <w:tcW w:w="434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w:t>
      </w:r>
      <w:r>
        <w:rPr>
          <w:rFonts w:hint="eastAsia" w:ascii="Times New Roman" w:hAnsi="Times New Roman" w:eastAsia="宋体" w:cs="Times New Roman"/>
          <w:b/>
          <w:color w:val="000000" w:themeColor="text1"/>
          <w:spacing w:val="-10"/>
          <w:szCs w:val="21"/>
          <w:lang w:val="en-US" w:eastAsia="zh-CN"/>
        </w:rPr>
        <w:t>的2019年09月25日至2021年</w:t>
      </w:r>
      <w:r>
        <w:rPr>
          <w:rFonts w:hint="eastAsia"/>
          <w:b/>
          <w:color w:val="000000" w:themeColor="text1"/>
          <w:spacing w:val="-10"/>
          <w:szCs w:val="21"/>
          <w:lang w:val="en-US" w:eastAsia="zh-CN"/>
        </w:rPr>
        <w:t>02</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无</w:t>
            </w:r>
            <w:r>
              <w:rPr>
                <w:rFonts w:hint="eastAsia" w:ascii="宋体" w:hAnsi="宋体"/>
                <w:color w:val="000000" w:themeColor="text1"/>
              </w:rPr>
              <w:t>不适用条款</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rPr>
                <w:rFonts w:hint="eastAsia" w:ascii="宋体" w:hAnsi="宋体"/>
                <w:b/>
                <w:color w:val="000000" w:themeColor="text1"/>
                <w:sz w:val="20"/>
                <w:szCs w:val="20"/>
              </w:rPr>
            </w:pPr>
            <w:r>
              <w:rPr>
                <w:rFonts w:hint="eastAsia"/>
                <w:b/>
                <w:color w:val="000000" w:themeColor="text1"/>
                <w:sz w:val="20"/>
                <w:szCs w:val="20"/>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360" w:lineRule="auto"/>
              <w:rPr>
                <w:b/>
                <w:color w:val="000000" w:themeColor="text1"/>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技先进</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优质高效</w:t>
            </w:r>
            <w:r>
              <w:rPr>
                <w:rFonts w:hint="eastAsia" w:ascii="宋体" w:hAnsi="宋体" w:eastAsia="宋体" w:cs="宋体"/>
                <w:color w:val="000000"/>
                <w:szCs w:val="21"/>
                <w:lang w:eastAsia="zh-CN"/>
              </w:rPr>
              <w:t>，</w:t>
            </w:r>
            <w:r>
              <w:rPr>
                <w:rFonts w:hint="eastAsia" w:ascii="宋体" w:hAnsi="宋体" w:eastAsia="宋体" w:cs="宋体"/>
                <w:color w:val="000000"/>
                <w:szCs w:val="21"/>
              </w:rPr>
              <w:t>顾客至上</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尊信守约。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hint="eastAsia" w:ascii="宋体" w:hAnsi="宋体" w:eastAsia="宋体" w:cs="Times New Roman"/>
                <w:bCs/>
                <w:spacing w:val="10"/>
                <w:kern w:val="2"/>
                <w:sz w:val="21"/>
                <w:szCs w:val="22"/>
                <w:lang w:val="en-US" w:eastAsia="zh-CN" w:bidi="ar-SA"/>
              </w:rPr>
            </w:pPr>
            <w:r>
              <w:rPr>
                <w:rFonts w:hint="eastAsia" w:ascii="宋体" w:hAnsi="宋体"/>
                <w:b/>
                <w:color w:val="000000" w:themeColor="text1"/>
                <w:sz w:val="20"/>
                <w:szCs w:val="20"/>
              </w:rPr>
              <w:t>质量管理体系过程有：</w:t>
            </w:r>
            <w:r>
              <w:rPr>
                <w:rFonts w:hint="eastAsia" w:ascii="宋体" w:hAnsi="宋体" w:eastAsia="宋体" w:cs="Times New Roman"/>
                <w:bCs/>
                <w:spacing w:val="10"/>
                <w:kern w:val="2"/>
                <w:sz w:val="21"/>
                <w:szCs w:val="22"/>
                <w:lang w:val="en-US" w:eastAsia="zh-CN" w:bidi="ar-SA"/>
              </w:rPr>
              <w:t>产品生产流程</w:t>
            </w:r>
          </w:p>
          <w:p>
            <w:pPr>
              <w:spacing w:line="400" w:lineRule="exact"/>
              <w:jc w:val="left"/>
              <w:rPr>
                <w:rFonts w:hint="eastAsia" w:ascii="宋体" w:hAnsi="宋体" w:eastAsia="宋体" w:cs="Times New Roman"/>
                <w:bCs/>
                <w:spacing w:val="10"/>
                <w:kern w:val="2"/>
                <w:sz w:val="21"/>
                <w:szCs w:val="22"/>
                <w:lang w:val="en-US" w:eastAsia="zh-CN" w:bidi="ar-SA"/>
              </w:rPr>
            </w:pPr>
            <w:r>
              <w:rPr>
                <w:rFonts w:hint="eastAsia" w:ascii="宋体" w:hAnsi="宋体" w:eastAsia="宋体" w:cs="Times New Roman"/>
                <w:bCs/>
                <w:spacing w:val="10"/>
                <w:kern w:val="2"/>
                <w:sz w:val="21"/>
                <w:szCs w:val="22"/>
                <w:lang w:val="en-US" w:eastAsia="zh-CN" w:bidi="ar-SA"/>
              </w:rPr>
              <w:t>工装夹具工艺流程：下料——机械加工（车、铣、磨、线切割）一—热处理（外包）——平磨——表面处理（外包）——组装——检验。</w:t>
            </w:r>
          </w:p>
          <w:p>
            <w:pPr>
              <w:spacing w:line="400" w:lineRule="exact"/>
              <w:jc w:val="left"/>
              <w:rPr>
                <w:rFonts w:hint="eastAsia" w:ascii="宋体" w:hAnsi="宋体" w:eastAsia="宋体" w:cs="Times New Roman"/>
                <w:bCs/>
                <w:spacing w:val="10"/>
                <w:kern w:val="2"/>
                <w:sz w:val="21"/>
                <w:szCs w:val="22"/>
                <w:lang w:val="en-US" w:eastAsia="zh-Hans" w:bidi="ar-SA"/>
              </w:rPr>
            </w:pPr>
            <w:r>
              <w:rPr>
                <w:rFonts w:hint="eastAsia" w:ascii="宋体" w:hAnsi="宋体" w:eastAsia="宋体" w:cs="Times New Roman"/>
                <w:bCs/>
                <w:spacing w:val="10"/>
                <w:kern w:val="2"/>
                <w:sz w:val="21"/>
                <w:szCs w:val="22"/>
                <w:lang w:val="en-US" w:eastAsia="zh-CN" w:bidi="ar-SA"/>
              </w:rPr>
              <w:t>塞规工艺流程：下料——机械加工（车</w:t>
            </w:r>
            <w:r>
              <w:rPr>
                <w:rFonts w:hint="eastAsia" w:ascii="宋体" w:hAnsi="宋体" w:cs="Times New Roman"/>
                <w:bCs/>
                <w:spacing w:val="10"/>
                <w:kern w:val="2"/>
                <w:sz w:val="21"/>
                <w:szCs w:val="22"/>
                <w:lang w:val="en-US" w:eastAsia="zh-CN" w:bidi="ar-SA"/>
              </w:rPr>
              <w:t>、外磨</w:t>
            </w:r>
            <w:r>
              <w:rPr>
                <w:rFonts w:hint="eastAsia" w:ascii="宋体" w:hAnsi="宋体" w:eastAsia="宋体" w:cs="Times New Roman"/>
                <w:bCs/>
                <w:spacing w:val="10"/>
                <w:kern w:val="2"/>
                <w:sz w:val="21"/>
                <w:szCs w:val="22"/>
                <w:lang w:val="en-US" w:eastAsia="zh-CN" w:bidi="ar-SA"/>
              </w:rPr>
              <w:t>）一—热处理（外包）——表面处理（外包）--外圆磨——检验。</w:t>
            </w:r>
          </w:p>
          <w:p>
            <w:pPr>
              <w:rPr>
                <w:rFonts w:hint="eastAsia" w:ascii="宋体" w:hAnsi="宋体" w:eastAsia="宋体" w:cs="Times New Roman"/>
                <w:bCs/>
                <w:spacing w:val="10"/>
                <w:kern w:val="2"/>
                <w:sz w:val="21"/>
                <w:szCs w:val="22"/>
                <w:lang w:val="en-US" w:eastAsia="zh-CN" w:bidi="ar-SA"/>
              </w:rPr>
            </w:pPr>
            <w:r>
              <w:rPr>
                <w:rFonts w:hint="eastAsia" w:ascii="宋体" w:hAnsi="宋体" w:eastAsia="宋体" w:cs="Times New Roman"/>
                <w:bCs/>
                <w:spacing w:val="10"/>
                <w:kern w:val="2"/>
                <w:sz w:val="21"/>
                <w:szCs w:val="22"/>
                <w:lang w:val="en-US" w:eastAsia="zh-CN" w:bidi="ar-SA"/>
              </w:rPr>
              <w:t>特殊过程：</w:t>
            </w:r>
            <w:r>
              <w:rPr>
                <w:rFonts w:hint="eastAsia" w:ascii="宋体" w:hAnsi="宋体" w:eastAsia="宋体" w:cs="Times New Roman"/>
                <w:bCs/>
                <w:spacing w:val="10"/>
                <w:kern w:val="2"/>
                <w:sz w:val="21"/>
                <w:szCs w:val="22"/>
                <w:lang w:val="en-US" w:eastAsia="zh-Hans" w:bidi="ar-SA"/>
              </w:rPr>
              <w:t>热处理</w:t>
            </w:r>
            <w:r>
              <w:rPr>
                <w:rFonts w:hint="eastAsia" w:ascii="宋体" w:hAnsi="宋体" w:eastAsia="宋体" w:cs="Times New Roman"/>
                <w:bCs/>
                <w:spacing w:val="10"/>
                <w:kern w:val="2"/>
                <w:sz w:val="21"/>
                <w:szCs w:val="22"/>
                <w:lang w:val="en-US" w:eastAsia="zh-CN" w:bidi="ar-SA"/>
              </w:rPr>
              <w:t>、</w:t>
            </w:r>
            <w:r>
              <w:rPr>
                <w:rFonts w:hint="eastAsia" w:ascii="宋体" w:hAnsi="宋体" w:eastAsia="宋体" w:cs="Times New Roman"/>
                <w:bCs/>
                <w:spacing w:val="10"/>
                <w:kern w:val="2"/>
                <w:sz w:val="21"/>
                <w:szCs w:val="22"/>
                <w:lang w:val="en-US" w:eastAsia="zh-Hans" w:bidi="ar-SA"/>
              </w:rPr>
              <w:t>表处理</w:t>
            </w:r>
            <w:r>
              <w:rPr>
                <w:rFonts w:hint="default" w:ascii="宋体" w:hAnsi="宋体" w:eastAsia="宋体" w:cs="Times New Roman"/>
                <w:bCs/>
                <w:spacing w:val="10"/>
                <w:kern w:val="2"/>
                <w:sz w:val="21"/>
                <w:szCs w:val="22"/>
                <w:lang w:val="en-US" w:eastAsia="zh-Hans" w:bidi="ar-SA"/>
              </w:rPr>
              <w:t>（</w:t>
            </w:r>
            <w:r>
              <w:rPr>
                <w:rFonts w:hint="eastAsia" w:ascii="宋体" w:hAnsi="宋体" w:eastAsia="宋体" w:cs="Times New Roman"/>
                <w:bCs/>
                <w:spacing w:val="10"/>
                <w:kern w:val="2"/>
                <w:sz w:val="21"/>
                <w:szCs w:val="22"/>
                <w:lang w:val="en-US" w:eastAsia="zh-Hans" w:bidi="ar-SA"/>
              </w:rPr>
              <w:t>外协</w:t>
            </w:r>
            <w:r>
              <w:rPr>
                <w:rFonts w:hint="default" w:ascii="宋体" w:hAnsi="宋体" w:eastAsia="宋体" w:cs="Times New Roman"/>
                <w:bCs/>
                <w:spacing w:val="10"/>
                <w:kern w:val="2"/>
                <w:sz w:val="21"/>
                <w:szCs w:val="22"/>
                <w:lang w:val="en-US" w:eastAsia="zh-Hans" w:bidi="ar-SA"/>
              </w:rPr>
              <w:t>）</w:t>
            </w:r>
            <w:r>
              <w:rPr>
                <w:rFonts w:hint="eastAsia" w:ascii="宋体" w:hAnsi="宋体" w:eastAsia="宋体" w:cs="Times New Roman"/>
                <w:bCs/>
                <w:spacing w:val="10"/>
                <w:kern w:val="2"/>
                <w:sz w:val="21"/>
                <w:szCs w:val="22"/>
                <w:lang w:val="en-US" w:eastAsia="zh-CN" w:bidi="ar-SA"/>
              </w:rPr>
              <w:t xml:space="preserve">   关键过程：机加过程</w:t>
            </w:r>
          </w:p>
          <w:p>
            <w:pPr>
              <w:spacing w:line="360" w:lineRule="auto"/>
              <w:rPr>
                <w:rFonts w:ascii="宋体" w:hAnsi="宋体"/>
                <w:b/>
                <w:color w:val="000000" w:themeColor="text1"/>
                <w:szCs w:val="21"/>
              </w:rPr>
            </w:pPr>
            <w:r>
              <w:rPr>
                <w:rFonts w:hint="eastAsia" w:ascii="宋体" w:hAnsi="宋体"/>
                <w:b/>
                <w:sz w:val="20"/>
                <w:szCs w:val="20"/>
              </w:rPr>
              <w:t>不适用条款：</w:t>
            </w:r>
            <w:r>
              <w:rPr>
                <w:rFonts w:hint="eastAsia" w:ascii="宋体" w:hAnsi="宋体"/>
                <w:b/>
                <w:sz w:val="20"/>
                <w:szCs w:val="20"/>
                <w:lang w:val="en-US" w:eastAsia="zh-CN"/>
              </w:rPr>
              <w:t>无</w:t>
            </w: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widowControl/>
              <w:spacing w:line="400" w:lineRule="exact"/>
              <w:rPr>
                <w:rFonts w:hint="eastAsia" w:ascii="宋体" w:hAnsi="宋体"/>
                <w:sz w:val="21"/>
                <w:szCs w:val="21"/>
                <w:lang w:eastAsia="zh-CN"/>
              </w:rPr>
            </w:pPr>
            <w:r>
              <w:rPr>
                <w:rFonts w:hint="eastAsia" w:ascii="宋体" w:hAnsi="宋体"/>
                <w:sz w:val="21"/>
                <w:szCs w:val="21"/>
                <w:lang w:eastAsia="zh-CN"/>
              </w:rPr>
              <w:t>1. 产品一次交验合格率98％以上；</w:t>
            </w:r>
          </w:p>
          <w:p>
            <w:pPr>
              <w:spacing w:line="300" w:lineRule="exact"/>
              <w:rPr>
                <w:rFonts w:ascii="宋体" w:hAnsi="宋体"/>
                <w:b/>
                <w:color w:val="000000" w:themeColor="text1"/>
              </w:rPr>
            </w:pPr>
            <w:r>
              <w:rPr>
                <w:rFonts w:hint="eastAsia" w:ascii="宋体" w:hAnsi="宋体"/>
                <w:sz w:val="21"/>
                <w:szCs w:val="21"/>
                <w:lang w:eastAsia="zh-CN"/>
              </w:rPr>
              <w:t>2. 客户满意度达到90％以上</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color w:val="auto"/>
              </w:rPr>
              <w:t>组</w:t>
            </w:r>
            <w:r>
              <w:rPr>
                <w:rFonts w:hint="eastAsia" w:ascii="宋体" w:hAnsi="宋体"/>
                <w:bCs/>
                <w:iCs/>
                <w:color w:val="auto"/>
                <w:szCs w:val="22"/>
              </w:rPr>
              <w:t>织按管理体系需求配置了充足的人员、设施、监视和测量设备等资源，并建立维持了</w:t>
            </w:r>
            <w:r>
              <w:rPr>
                <w:rFonts w:hint="eastAsia" w:ascii="宋体" w:hAnsi="宋体"/>
                <w:color w:val="auto"/>
                <w:szCs w:val="21"/>
              </w:rPr>
              <w:t>产品的生产</w:t>
            </w:r>
            <w:r>
              <w:rPr>
                <w:rFonts w:hint="eastAsia" w:ascii="宋体" w:hAnsi="宋体"/>
                <w:bCs/>
                <w:iCs/>
                <w:color w:val="auto"/>
                <w:szCs w:val="22"/>
              </w:rPr>
              <w:t>及相关服务运行环境，可以维持管理体系的正常运行。</w:t>
            </w:r>
          </w:p>
          <w:p>
            <w:pPr>
              <w:spacing w:line="300" w:lineRule="exact"/>
              <w:rPr>
                <w:rFonts w:ascii="宋体" w:hAnsi="宋体"/>
                <w:b/>
                <w:color w:val="auto"/>
                <w:sz w:val="20"/>
                <w:szCs w:val="20"/>
              </w:rPr>
            </w:pPr>
            <w:r>
              <w:rPr>
                <w:rFonts w:hint="eastAsia" w:ascii="宋体" w:hAnsi="宋体"/>
                <w:bCs/>
                <w:iCs/>
                <w:color w:val="auto"/>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400" w:lineRule="exact"/>
              <w:ind w:firstLine="420" w:firstLineChars="200"/>
              <w:rPr>
                <w:rFonts w:ascii="宋体" w:hAnsi="宋体"/>
                <w:b/>
                <w:color w:val="auto"/>
                <w:sz w:val="20"/>
                <w:szCs w:val="20"/>
              </w:rPr>
            </w:pPr>
            <w:r>
              <w:rPr>
                <w:rFonts w:hint="eastAsia" w:ascii="宋体" w:hAnsi="宋体"/>
                <w:color w:val="auto"/>
                <w:szCs w:val="21"/>
              </w:rPr>
              <w:t>组织有厂房及办公场地.主要生产设备包括：</w:t>
            </w:r>
            <w:r>
              <w:rPr>
                <w:rFonts w:hint="eastAsia"/>
                <w:color w:val="auto"/>
                <w:sz w:val="21"/>
                <w:szCs w:val="21"/>
                <w:lang w:val="en-US" w:eastAsia="zh-CN"/>
              </w:rPr>
              <w:t>电脑、办公设备电脑、办公设备、线切割机、铣床、磨床、数控车床、车床、自动攻丝机、钻床、压缩机等。可以满足</w:t>
            </w:r>
            <w:r>
              <w:rPr>
                <w:rFonts w:hint="eastAsia" w:ascii="宋体" w:hAnsi="宋体"/>
                <w:color w:val="auto"/>
                <w:szCs w:val="21"/>
              </w:rPr>
              <w:t>工装夹具、非标量具（塞规）的设计及生产</w:t>
            </w:r>
            <w:r>
              <w:rPr>
                <w:rFonts w:hint="eastAsia"/>
                <w:color w:val="auto"/>
                <w:sz w:val="21"/>
                <w:szCs w:val="21"/>
                <w:lang w:val="en-US" w:eastAsia="zh-CN"/>
              </w:rPr>
              <w:t>需要</w:t>
            </w:r>
            <w:r>
              <w:rPr>
                <w:rFonts w:hint="eastAsia" w:ascii="宋体" w:hAnsi="宋体"/>
                <w:color w:val="auto"/>
                <w:szCs w:val="21"/>
              </w:rPr>
              <w:t>。对设备按月方式进行点检维护保养，并实施。特种设备：</w:t>
            </w:r>
            <w:r>
              <w:rPr>
                <w:rFonts w:hint="eastAsia" w:ascii="宋体" w:hAnsi="宋体"/>
                <w:color w:val="auto"/>
                <w:szCs w:val="21"/>
                <w:lang w:val="en-US" w:eastAsia="zh-CN"/>
              </w:rPr>
              <w:t>无</w:t>
            </w:r>
            <w:r>
              <w:rPr>
                <w:rFonts w:hint="eastAsia" w:ascii="宋体" w:hAnsi="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240" w:lineRule="exact"/>
              <w:ind w:firstLine="420" w:firstLineChars="200"/>
              <w:rPr>
                <w:rFonts w:ascii="宋体" w:hAnsi="宋体"/>
                <w:b/>
                <w:color w:val="auto"/>
                <w:sz w:val="20"/>
                <w:szCs w:val="20"/>
              </w:rPr>
            </w:pPr>
            <w:r>
              <w:rPr>
                <w:rFonts w:hint="eastAsia" w:ascii="宋体" w:hAnsi="宋体" w:cs="宋体"/>
                <w:color w:val="auto"/>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auto"/>
                <w:szCs w:val="21"/>
              </w:rPr>
            </w:pPr>
            <w:r>
              <w:rPr>
                <w:rFonts w:hint="eastAsia" w:ascii="宋体" w:hAnsi="宋体"/>
                <w:b/>
                <w:color w:val="auto"/>
                <w:sz w:val="20"/>
                <w:szCs w:val="20"/>
              </w:rPr>
              <w:t>监视和测量资源</w:t>
            </w:r>
          </w:p>
          <w:p>
            <w:pPr>
              <w:spacing w:line="240" w:lineRule="exact"/>
              <w:ind w:firstLine="420" w:firstLineChars="200"/>
              <w:rPr>
                <w:rFonts w:hint="eastAsia" w:ascii="宋体" w:hAnsi="宋体" w:eastAsia="宋体"/>
                <w:b/>
                <w:color w:val="auto"/>
                <w:sz w:val="20"/>
                <w:szCs w:val="20"/>
                <w:lang w:eastAsia="zh-CN"/>
              </w:rPr>
            </w:pPr>
            <w:r>
              <w:rPr>
                <w:rFonts w:hint="eastAsia" w:ascii="宋体" w:hAnsi="宋体" w:cs="宋体"/>
                <w:color w:val="auto"/>
                <w:szCs w:val="21"/>
              </w:rPr>
              <w:t>生产车间及检验部门均按策划的要求配置了相应的检测设备，</w:t>
            </w:r>
            <w:r>
              <w:rPr>
                <w:rFonts w:hint="eastAsia"/>
                <w:color w:val="auto"/>
                <w:sz w:val="21"/>
                <w:szCs w:val="21"/>
                <w:lang w:val="en-US" w:eastAsia="zh-CN"/>
              </w:rPr>
              <w:t>游标卡尺、数显千分尺、杠杆千分尺、量块等</w:t>
            </w:r>
            <w:r>
              <w:rPr>
                <w:rFonts w:hint="eastAsia" w:ascii="宋体" w:hAnsi="宋体" w:cs="宋体"/>
                <w:color w:val="auto"/>
                <w:szCs w:val="21"/>
              </w:rPr>
              <w:t>，均采用委外送检的方式。</w:t>
            </w:r>
            <w:r>
              <w:rPr>
                <w:rFonts w:hint="eastAsia" w:ascii="宋体" w:hAnsi="宋体" w:cs="宋体"/>
                <w:color w:val="auto"/>
                <w:szCs w:val="21"/>
                <w:lang w:eastAsia="zh-CN"/>
              </w:rPr>
              <w:t>提供</w:t>
            </w:r>
            <w:r>
              <w:rPr>
                <w:rFonts w:hint="eastAsia" w:ascii="宋体" w:hAnsi="宋体" w:cs="宋体"/>
                <w:color w:val="auto"/>
                <w:szCs w:val="21"/>
                <w:lang w:val="en-US" w:eastAsia="zh-CN"/>
              </w:rPr>
              <w:t>了有</w:t>
            </w:r>
            <w:r>
              <w:rPr>
                <w:rFonts w:hint="eastAsia" w:ascii="宋体" w:hAnsi="宋体" w:cs="宋体"/>
                <w:color w:val="auto"/>
                <w:szCs w:val="21"/>
                <w:lang w:eastAsia="zh-CN"/>
              </w:rPr>
              <w:t>效期内的检验校准证书。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pPr>
              <w:spacing w:line="400" w:lineRule="exact"/>
              <w:ind w:firstLine="315" w:firstLineChars="15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职业健康安全设施：</w:t>
            </w:r>
          </w:p>
          <w:p>
            <w:pPr>
              <w:spacing w:line="240" w:lineRule="exact"/>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w:t>
            </w:r>
            <w:r>
              <w:rPr>
                <w:rFonts w:hint="eastAsia" w:ascii="宋体" w:hAnsi="宋体" w:cs="宋体"/>
                <w:color w:val="auto"/>
                <w:szCs w:val="21"/>
              </w:rPr>
              <w:t>客满意度调查），相关绩效表明：组织基本能有效控制管理其生产及服务过程，从审核过程看，公司的产品质量管理基本受控。QMS</w:t>
            </w:r>
            <w:r>
              <w:rPr>
                <w:rFonts w:hint="eastAsia" w:ascii="宋体" w:hAnsi="宋体" w:eastAsia="宋体" w:cs="Times New Roman"/>
                <w:bCs/>
                <w:color w:val="auto"/>
                <w:spacing w:val="10"/>
                <w:kern w:val="2"/>
                <w:sz w:val="21"/>
                <w:szCs w:val="22"/>
                <w:lang w:val="en-US" w:eastAsia="zh-CN" w:bidi="ar-SA"/>
              </w:rPr>
              <w:t>特殊过程：</w:t>
            </w:r>
            <w:r>
              <w:rPr>
                <w:rFonts w:hint="eastAsia" w:ascii="宋体" w:hAnsi="宋体" w:eastAsia="宋体" w:cs="Times New Roman"/>
                <w:bCs/>
                <w:color w:val="auto"/>
                <w:spacing w:val="10"/>
                <w:kern w:val="2"/>
                <w:sz w:val="21"/>
                <w:szCs w:val="22"/>
                <w:lang w:val="en-US" w:eastAsia="zh-Hans" w:bidi="ar-SA"/>
              </w:rPr>
              <w:t>热处理</w:t>
            </w:r>
            <w:r>
              <w:rPr>
                <w:rFonts w:hint="eastAsia" w:ascii="宋体" w:hAnsi="宋体" w:eastAsia="宋体" w:cs="Times New Roman"/>
                <w:bCs/>
                <w:color w:val="auto"/>
                <w:spacing w:val="10"/>
                <w:kern w:val="2"/>
                <w:sz w:val="21"/>
                <w:szCs w:val="22"/>
                <w:lang w:val="en-US" w:eastAsia="zh-CN" w:bidi="ar-SA"/>
              </w:rPr>
              <w:t>、</w:t>
            </w:r>
            <w:r>
              <w:rPr>
                <w:rFonts w:hint="eastAsia" w:ascii="宋体" w:hAnsi="宋体" w:eastAsia="宋体" w:cs="Times New Roman"/>
                <w:bCs/>
                <w:color w:val="auto"/>
                <w:spacing w:val="10"/>
                <w:kern w:val="2"/>
                <w:sz w:val="21"/>
                <w:szCs w:val="22"/>
                <w:lang w:val="en-US" w:eastAsia="zh-Hans" w:bidi="ar-SA"/>
              </w:rPr>
              <w:t>表处理</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Hans" w:bidi="ar-SA"/>
              </w:rPr>
              <w:t>外协</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CN" w:bidi="ar-SA"/>
              </w:rPr>
              <w:t xml:space="preserve">   关键过程：机加过程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jc w:val="left"/>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300" w:lineRule="exact"/>
              <w:jc w:val="left"/>
              <w:rPr>
                <w:b/>
                <w:color w:val="000000" w:themeColor="text1"/>
                <w:sz w:val="20"/>
                <w:szCs w:val="20"/>
              </w:rPr>
            </w:pPr>
            <w:r>
              <w:rPr>
                <w:rFonts w:hint="eastAsia" w:ascii="宋体" w:hAnsi="宋体" w:cs="宋体"/>
                <w:color w:val="000000"/>
                <w:szCs w:val="21"/>
              </w:rPr>
              <w:t>(应说明相关证据)：验收规范、验收记录等。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 xml:space="preserve">5 </w:t>
            </w:r>
            <w:r>
              <w:rPr>
                <w:rFonts w:hint="eastAsia"/>
                <w:b/>
                <w:sz w:val="20"/>
                <w:szCs w:val="20"/>
              </w:rPr>
              <w:t>.QMS国家/地方技术监督部门监测（检测、委托检测、定期监测、型式试验等）、抽查结果</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提供有委外检测报告</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000000" w:themeColor="text1"/>
                <w:sz w:val="20"/>
                <w:szCs w:val="20"/>
              </w:rPr>
              <w:t>10. 对特种设备的维</w:t>
            </w:r>
            <w:r>
              <w:rPr>
                <w:rFonts w:hint="eastAsia"/>
                <w:b/>
                <w:color w:val="auto"/>
                <w:sz w:val="20"/>
                <w:szCs w:val="20"/>
              </w:rPr>
              <w:t>护; （适用时）</w:t>
            </w:r>
          </w:p>
          <w:p>
            <w:pPr>
              <w:ind w:left="210" w:leftChars="100" w:firstLine="105" w:firstLineChars="50"/>
              <w:jc w:val="left"/>
              <w:rPr>
                <w:b/>
                <w:sz w:val="20"/>
                <w:szCs w:val="20"/>
              </w:rPr>
            </w:pPr>
            <w:r>
              <w:rPr>
                <w:rFonts w:hint="eastAsia" w:ascii="宋体" w:hAnsi="宋体" w:cs="宋体"/>
                <w:color w:val="auto"/>
                <w:szCs w:val="21"/>
              </w:rPr>
              <w:t>特种设备：</w:t>
            </w:r>
            <w:r>
              <w:rPr>
                <w:rFonts w:hint="eastAsia" w:ascii="宋体" w:hAnsi="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w:t>
            </w:r>
            <w:r>
              <w:rPr>
                <w:rFonts w:hint="eastAsia" w:ascii="宋体" w:hAnsi="宋体" w:cs="宋体"/>
                <w:color w:val="auto"/>
                <w:szCs w:val="21"/>
              </w:rPr>
              <w:t>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w:t>
            </w:r>
            <w:r>
              <w:rPr>
                <w:rFonts w:hint="eastAsia" w:ascii="宋体" w:hAnsi="宋体" w:cs="宋体"/>
                <w:color w:val="auto"/>
                <w:szCs w:val="21"/>
              </w:rPr>
              <w:t>利用上不够，需要改善。近年来未发生重大顾客投诉和产品质量事故。顾客满意度调查按规定实施，2020年</w:t>
            </w:r>
            <w:r>
              <w:rPr>
                <w:rFonts w:hint="eastAsia" w:ascii="宋体" w:hAnsi="宋体" w:cs="宋体"/>
                <w:color w:val="auto"/>
                <w:szCs w:val="21"/>
                <w:lang w:val="en-US" w:eastAsia="zh-CN"/>
              </w:rPr>
              <w:t>11</w:t>
            </w:r>
            <w:r>
              <w:rPr>
                <w:rFonts w:hint="eastAsia" w:ascii="宋体" w:hAnsi="宋体" w:cs="宋体"/>
                <w:color w:val="auto"/>
                <w:szCs w:val="21"/>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2020年</w:t>
            </w:r>
            <w:r>
              <w:rPr>
                <w:rFonts w:hint="eastAsia"/>
                <w:szCs w:val="21"/>
                <w:lang w:val="en-US" w:eastAsia="zh-CN"/>
              </w:rPr>
              <w:t>11</w:t>
            </w:r>
            <w:r>
              <w:rPr>
                <w:rFonts w:hint="eastAsia"/>
                <w:szCs w:val="21"/>
              </w:rPr>
              <w:t>月</w:t>
            </w:r>
            <w:r>
              <w:rPr>
                <w:rFonts w:hint="eastAsia"/>
                <w:szCs w:val="21"/>
                <w:lang w:val="en-US" w:eastAsia="zh-CN"/>
              </w:rPr>
              <w:t>10</w:t>
            </w:r>
            <w:r>
              <w:rPr>
                <w:rFonts w:hint="eastAsia"/>
                <w:szCs w:val="21"/>
              </w:rPr>
              <w:t xml:space="preserve">日   </w:t>
            </w:r>
            <w:r>
              <w:rPr>
                <w:rFonts w:hint="eastAsia" w:ascii="宋体" w:hAnsi="宋体" w:cs="宋体"/>
                <w:szCs w:val="21"/>
              </w:rPr>
              <w:t>，拟定了审核实施表，明确了内审范围，内审人员经培训合格上岗，能力满足要求，未出现审核本部门情况，内审不符合项1项，</w:t>
            </w:r>
            <w:r>
              <w:rPr>
                <w:rFonts w:hint="eastAsia"/>
                <w:sz w:val="21"/>
                <w:szCs w:val="21"/>
                <w:highlight w:val="none"/>
              </w:rPr>
              <w:t>涉及</w:t>
            </w:r>
            <w:r>
              <w:rPr>
                <w:rFonts w:hint="eastAsia"/>
                <w:sz w:val="21"/>
                <w:szCs w:val="21"/>
                <w:highlight w:val="none"/>
                <w:lang w:eastAsia="zh-CN"/>
              </w:rPr>
              <w:t>供销</w:t>
            </w:r>
            <w:r>
              <w:rPr>
                <w:rFonts w:hint="eastAsia"/>
                <w:sz w:val="21"/>
                <w:szCs w:val="21"/>
                <w:highlight w:val="none"/>
              </w:rPr>
              <w:t>部</w:t>
            </w:r>
            <w:r>
              <w:rPr>
                <w:rFonts w:hint="eastAsia"/>
                <w:sz w:val="21"/>
                <w:szCs w:val="21"/>
                <w:highlight w:val="none"/>
                <w:lang w:val="en-US" w:eastAsia="zh-CN"/>
              </w:rPr>
              <w:t>8.4.1条款。</w:t>
            </w:r>
            <w:r>
              <w:rPr>
                <w:rFonts w:hint="eastAsia"/>
                <w:sz w:val="21"/>
                <w:szCs w:val="21"/>
                <w:highlight w:val="none"/>
              </w:rPr>
              <w:t>对</w:t>
            </w:r>
            <w:r>
              <w:rPr>
                <w:rFonts w:hint="eastAsia"/>
                <w:sz w:val="21"/>
                <w:szCs w:val="21"/>
                <w:highlight w:val="none"/>
                <w:lang w:eastAsia="zh-CN"/>
              </w:rPr>
              <w:t>不符合事实描述为“</w:t>
            </w:r>
            <w:r>
              <w:rPr>
                <w:rFonts w:hint="eastAsia"/>
                <w:sz w:val="21"/>
                <w:szCs w:val="21"/>
                <w:highlight w:val="none"/>
                <w:lang w:val="en-US" w:eastAsia="zh-CN"/>
              </w:rPr>
              <w:t>现场查看发现重庆日昊五金制品有限公司未及时进行供方评价</w:t>
            </w:r>
            <w:r>
              <w:rPr>
                <w:rFonts w:hint="eastAsia"/>
                <w:sz w:val="21"/>
                <w:szCs w:val="21"/>
                <w:highlight w:val="none"/>
                <w:lang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rPr>
                <w:b/>
                <w:color w:val="auto"/>
                <w:sz w:val="20"/>
                <w:szCs w:val="20"/>
              </w:rPr>
            </w:pPr>
            <w:r>
              <w:rPr>
                <w:rFonts w:hint="eastAsia"/>
                <w:b/>
                <w:color w:val="auto"/>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3. 一阶段提出问题的整改情况?</w:t>
            </w:r>
          </w:p>
          <w:p>
            <w:pPr>
              <w:spacing w:line="240" w:lineRule="exact"/>
              <w:rPr>
                <w:rFonts w:hint="eastAsia" w:eastAsia="宋体"/>
                <w:b/>
                <w:color w:val="auto"/>
                <w:spacing w:val="-20"/>
                <w:sz w:val="20"/>
                <w:szCs w:val="20"/>
                <w:lang w:val="en-US" w:eastAsia="zh-CN"/>
              </w:rPr>
            </w:pPr>
            <w:r>
              <w:rPr>
                <w:rFonts w:hint="eastAsia"/>
                <w:b/>
                <w:color w:val="auto"/>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auto"/>
          <w:sz w:val="20"/>
        </w:rPr>
      </w:pPr>
      <w:r>
        <w:rPr>
          <w:rFonts w:hint="eastAsia"/>
          <w:b/>
          <w:color w:val="000000" w:themeColor="text1"/>
          <w:sz w:val="26"/>
          <w:szCs w:val="26"/>
        </w:rPr>
        <w:t>七、本次审核不符合</w:t>
      </w:r>
      <w:r>
        <w:rPr>
          <w:rFonts w:hint="eastAsia"/>
          <w:b/>
          <w:color w:val="auto"/>
          <w:sz w:val="26"/>
          <w:szCs w:val="26"/>
        </w:rPr>
        <w:t>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lang w:val="en-US" w:eastAsia="zh-CN"/>
        </w:rPr>
        <w:t>1</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项分布在</w:t>
      </w:r>
      <w:r>
        <w:rPr>
          <w:rFonts w:hint="eastAsia" w:ascii="方正仿宋简体" w:eastAsia="方正仿宋简体"/>
          <w:b/>
          <w:color w:val="auto"/>
          <w:lang w:val="en-US" w:eastAsia="zh-CN"/>
        </w:rPr>
        <w:t>生产部</w:t>
      </w:r>
      <w:r>
        <w:rPr>
          <w:rFonts w:hint="eastAsia"/>
          <w:b/>
          <w:color w:val="auto"/>
        </w:rPr>
        <w:t>部门</w:t>
      </w:r>
      <w:r>
        <w:rPr>
          <w:rFonts w:hint="eastAsia"/>
          <w:b/>
          <w:color w:val="auto"/>
          <w:lang w:val="en-US" w:eastAsia="zh-CN"/>
        </w:rPr>
        <w:t>8.5.2</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工装夹具、非标量具（塞规）的设计及生产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20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703296" behindDoc="0" locked="0" layoutInCell="1" allowOverlap="1">
            <wp:simplePos x="0" y="0"/>
            <wp:positionH relativeFrom="column">
              <wp:posOffset>1639570</wp:posOffset>
            </wp:positionH>
            <wp:positionV relativeFrom="paragraph">
              <wp:posOffset>-14605</wp:posOffset>
            </wp:positionV>
            <wp:extent cx="422910" cy="320040"/>
            <wp:effectExtent l="0" t="0" r="3810" b="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702272" behindDoc="0" locked="0" layoutInCell="1" allowOverlap="1">
            <wp:simplePos x="0" y="0"/>
            <wp:positionH relativeFrom="column">
              <wp:posOffset>1568450</wp:posOffset>
            </wp:positionH>
            <wp:positionV relativeFrom="paragraph">
              <wp:posOffset>121920</wp:posOffset>
            </wp:positionV>
            <wp:extent cx="590550" cy="426720"/>
            <wp:effectExtent l="0" t="0" r="3810" b="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03</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03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48352" behindDoc="0" locked="0" layoutInCell="1" allowOverlap="1">
            <wp:simplePos x="0" y="0"/>
            <wp:positionH relativeFrom="column">
              <wp:posOffset>749935</wp:posOffset>
            </wp:positionH>
            <wp:positionV relativeFrom="paragraph">
              <wp:posOffset>153670</wp:posOffset>
            </wp:positionV>
            <wp:extent cx="523240" cy="396240"/>
            <wp:effectExtent l="0" t="0" r="10160" b="0"/>
            <wp:wrapNone/>
            <wp:docPr id="5"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Administrator\Desktop\签名.jpg"/>
                    <pic:cNvPicPr>
                      <a:picLocks noChangeAspect="1"/>
                    </pic:cNvPicPr>
                  </pic:nvPicPr>
                  <pic:blipFill>
                    <a:blip r:embed="rId6"/>
                    <a:stretch>
                      <a:fillRect/>
                    </a:stretch>
                  </pic:blipFill>
                  <pic:spPr>
                    <a:xfrm>
                      <a:off x="0" y="0"/>
                      <a:ext cx="523240" cy="3962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3 </w:t>
      </w:r>
      <w:r>
        <w:rPr>
          <w:rFonts w:hint="eastAsia"/>
          <w:b/>
          <w:color w:val="000000" w:themeColor="text1"/>
          <w:szCs w:val="21"/>
        </w:rPr>
        <w:t>月</w:t>
      </w:r>
      <w:r>
        <w:rPr>
          <w:rFonts w:hint="eastAsia"/>
          <w:b/>
          <w:color w:val="000000" w:themeColor="text1"/>
          <w:szCs w:val="21"/>
          <w:lang w:val="en-US" w:eastAsia="zh-CN"/>
        </w:rPr>
        <w:t xml:space="preserve"> 4</w:t>
      </w:r>
      <w:bookmarkStart w:id="21" w:name="_GoBack"/>
      <w:bookmarkEnd w:id="21"/>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BEB0F"/>
    <w:multiLevelType w:val="singleLevel"/>
    <w:tmpl w:val="8F7BEB0F"/>
    <w:lvl w:ilvl="0" w:tentative="0">
      <w:start w:val="3"/>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E570AB"/>
    <w:rsid w:val="76C12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2021-03-03T07:40:19Z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