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0119-2021-Q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重庆晟元机械制造有限公司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ascii="宋体"/>
          <w:b/>
          <w:color w:val="000000"/>
          <w:sz w:val="26"/>
          <w:szCs w:val="26"/>
        </w:rPr>
      </w:pPr>
    </w:p>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重庆晟元机械制造有限公司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重庆市璧山区丁家街道经济开发区</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402766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重庆市璧山区丁家街道迎宾大道6号1幢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402766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冯杰</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023-41582326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胡晓露</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冯杰</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1984470774@qq.com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工装夹具、非标量具（塞规）的设计及生产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val="0"/>
          <w:bCs/>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 行政部 生产部 质检部  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工装夹具、非标量具（塞规）的设计及生产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szCs w:val="22"/>
              </w:rPr>
            </w:pPr>
            <w:r>
              <w:rPr>
                <w:rFonts w:hint="eastAsia" w:ascii="宋体" w:hAnsi="宋体"/>
                <w:b/>
                <w:color w:val="000000"/>
                <w:sz w:val="20"/>
                <w:szCs w:val="20"/>
              </w:rPr>
              <w:t>公司部门设置：</w:t>
            </w:r>
            <w:r>
              <w:rPr>
                <w:rFonts w:hint="eastAsia"/>
                <w:szCs w:val="22"/>
                <w:lang w:eastAsia="zh-CN"/>
              </w:rPr>
              <w:t>管理层 行政部 生产部 质检部  供销部</w:t>
            </w:r>
            <w:r>
              <w:rPr>
                <w:rFonts w:hint="eastAsia"/>
                <w:szCs w:val="22"/>
              </w:rPr>
              <w:t>。</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Cs w:val="22"/>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szCs w:val="22"/>
                <w:lang w:eastAsia="zh-CN"/>
              </w:rPr>
              <w:t>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auto"/>
                <w:sz w:val="20"/>
                <w:szCs w:val="20"/>
              </w:rPr>
            </w:pPr>
            <w:r>
              <w:rPr>
                <w:rFonts w:hint="eastAsia" w:ascii="宋体" w:hAnsi="宋体"/>
                <w:color w:val="000000"/>
                <w:sz w:val="20"/>
                <w:szCs w:val="20"/>
              </w:rPr>
              <w:t>受审核方位于：</w:t>
            </w:r>
            <w:bookmarkStart w:id="24" w:name="生产地址"/>
            <w:r>
              <w:t>重庆市璧山区丁家街道迎宾大</w:t>
            </w:r>
            <w:r>
              <w:rPr>
                <w:color w:val="auto"/>
              </w:rPr>
              <w:t>道6号1幢</w:t>
            </w:r>
            <w:bookmarkEnd w:id="24"/>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color w:val="auto"/>
                <w:spacing w:val="-10"/>
                <w:sz w:val="20"/>
                <w:szCs w:val="20"/>
              </w:rPr>
              <w:sym w:font="Wingdings 2" w:char="0052"/>
            </w:r>
            <w:r>
              <w:rPr>
                <w:rFonts w:hint="eastAsia" w:ascii="宋体" w:hAnsi="宋体"/>
                <w:color w:val="auto"/>
                <w:sz w:val="20"/>
                <w:szCs w:val="20"/>
              </w:rPr>
              <w:t>自建办公用房</w:t>
            </w:r>
            <w:r>
              <w:rPr>
                <w:rFonts w:hint="eastAsia" w:ascii="宋体" w:hAnsi="宋体"/>
                <w:color w:val="auto"/>
                <w:spacing w:val="-10"/>
                <w:sz w:val="20"/>
                <w:szCs w:val="20"/>
              </w:rPr>
              <w:t>□</w:t>
            </w:r>
            <w:r>
              <w:rPr>
                <w:rFonts w:hint="eastAsia" w:ascii="宋体" w:hAnsi="宋体"/>
                <w:color w:val="auto"/>
                <w:sz w:val="20"/>
                <w:szCs w:val="20"/>
              </w:rPr>
              <w:t>自建厂房</w:t>
            </w:r>
            <w:r>
              <w:rPr>
                <w:rFonts w:hint="eastAsia" w:ascii="宋体" w:hAnsi="宋体" w:eastAsia="宋体" w:cs="宋体"/>
                <w:color w:val="auto"/>
                <w:spacing w:val="-10"/>
                <w:sz w:val="20"/>
                <w:szCs w:val="20"/>
              </w:rPr>
              <w:t>■</w:t>
            </w:r>
            <w:r>
              <w:rPr>
                <w:rFonts w:hint="eastAsia" w:ascii="宋体" w:hAnsi="宋体"/>
                <w:color w:val="auto"/>
                <w:spacing w:val="-10"/>
                <w:sz w:val="20"/>
                <w:szCs w:val="20"/>
              </w:rPr>
              <w:t>租用办公用房□租用厂房</w:t>
            </w:r>
          </w:p>
          <w:p>
            <w:pPr>
              <w:tabs>
                <w:tab w:val="left" w:pos="360"/>
              </w:tabs>
              <w:ind w:left="357" w:hanging="357"/>
              <w:rPr>
                <w:rFonts w:ascii="宋体"/>
                <w:color w:val="auto"/>
                <w:sz w:val="20"/>
                <w:szCs w:val="20"/>
              </w:rPr>
            </w:pPr>
            <w:r>
              <w:rPr>
                <w:rFonts w:hint="eastAsia" w:ascii="宋体" w:hAnsi="宋体"/>
                <w:color w:val="auto"/>
                <w:sz w:val="20"/>
                <w:szCs w:val="20"/>
              </w:rPr>
              <w:t>受审核方现场是否属于高风险地区</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z w:val="20"/>
                <w:szCs w:val="20"/>
                <w:lang w:eastAsia="zh-CN"/>
              </w:rPr>
              <w:t>■</w:t>
            </w:r>
            <w:r>
              <w:rPr>
                <w:rFonts w:hint="eastAsia" w:ascii="宋体" w:hAnsi="宋体"/>
                <w:color w:val="auto"/>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color w:val="auto"/>
                <w:sz w:val="20"/>
                <w:szCs w:val="20"/>
              </w:rPr>
            </w:pPr>
            <w:r>
              <w:rPr>
                <w:rFonts w:hint="eastAsia" w:ascii="宋体" w:hAnsi="宋体"/>
                <w:color w:val="auto"/>
                <w:spacing w:val="-10"/>
                <w:sz w:val="20"/>
                <w:szCs w:val="20"/>
                <w:lang w:eastAsia="zh-CN"/>
              </w:rPr>
              <w:t>■</w:t>
            </w:r>
            <w:r>
              <w:rPr>
                <w:rFonts w:hint="eastAsia" w:ascii="宋体"/>
                <w:color w:val="auto"/>
                <w:sz w:val="20"/>
                <w:szCs w:val="20"/>
              </w:rPr>
              <w:t>产品技术标准号：GB/T 1804-2000 一般公差 未注公差的线性和角度尺寸的公差</w:t>
            </w:r>
            <w:r>
              <w:rPr>
                <w:rFonts w:hint="eastAsia" w:ascii="宋体"/>
                <w:color w:val="auto"/>
                <w:sz w:val="20"/>
                <w:szCs w:val="20"/>
                <w:lang w:eastAsia="zh-CN"/>
              </w:rPr>
              <w:t>、</w:t>
            </w:r>
            <w:r>
              <w:rPr>
                <w:rFonts w:hint="eastAsia" w:ascii="宋体"/>
                <w:color w:val="auto"/>
                <w:sz w:val="20"/>
                <w:szCs w:val="20"/>
              </w:rPr>
              <w:t>JB/T 8044-1999</w:t>
            </w:r>
            <w:r>
              <w:rPr>
                <w:rFonts w:hint="default" w:ascii="宋体"/>
                <w:color w:val="auto"/>
                <w:sz w:val="20"/>
                <w:szCs w:val="20"/>
              </w:rPr>
              <w:t>机床夹具零件及部件技术要求</w:t>
            </w:r>
            <w:r>
              <w:rPr>
                <w:rFonts w:hint="eastAsia" w:ascii="宋体"/>
                <w:color w:val="auto"/>
                <w:sz w:val="20"/>
                <w:szCs w:val="20"/>
                <w:lang w:eastAsia="zh-CN"/>
              </w:rPr>
              <w:t>、</w:t>
            </w:r>
            <w:r>
              <w:rPr>
                <w:rFonts w:hint="eastAsia" w:ascii="宋体"/>
                <w:color w:val="auto"/>
                <w:sz w:val="20"/>
                <w:szCs w:val="20"/>
                <w:lang w:val="en-US" w:eastAsia="zh-CN"/>
              </w:rPr>
              <w:t>JB/T 8037-1999</w:t>
            </w:r>
            <w:r>
              <w:rPr>
                <w:rFonts w:hint="default" w:ascii="宋体"/>
                <w:color w:val="auto"/>
                <w:sz w:val="20"/>
                <w:szCs w:val="20"/>
                <w:lang w:val="en-US" w:eastAsia="zh-CN"/>
              </w:rPr>
              <w:t>机床夹具零件及部件螺塞</w:t>
            </w:r>
            <w:r>
              <w:rPr>
                <w:rFonts w:hint="eastAsia" w:ascii="宋体"/>
                <w:color w:val="auto"/>
                <w:sz w:val="20"/>
                <w:szCs w:val="20"/>
                <w:lang w:val="en-US" w:eastAsia="zh-CN"/>
              </w:rPr>
              <w:t>、</w:t>
            </w:r>
            <w:r>
              <w:rPr>
                <w:rFonts w:hint="eastAsia" w:ascii="宋体"/>
                <w:color w:val="auto"/>
                <w:sz w:val="20"/>
                <w:szCs w:val="20"/>
              </w:rPr>
              <w:t>T/CATA 0102-2017MJ螺纹塞规品种规格及技术要求</w:t>
            </w:r>
            <w:r>
              <w:rPr>
                <w:rFonts w:hint="eastAsia" w:ascii="宋体"/>
                <w:color w:val="auto"/>
                <w:sz w:val="20"/>
                <w:szCs w:val="20"/>
                <w:lang w:eastAsia="zh-CN"/>
              </w:rPr>
              <w:t>和客户要求</w:t>
            </w:r>
            <w:r>
              <w:rPr>
                <w:rFonts w:hint="eastAsia" w:ascii="宋体"/>
                <w:color w:val="auto"/>
                <w:sz w:val="20"/>
                <w:szCs w:val="20"/>
              </w:rPr>
              <w:t>等</w:t>
            </w:r>
          </w:p>
          <w:p>
            <w:pPr>
              <w:rPr>
                <w:rFonts w:ascii="宋体"/>
                <w:color w:val="auto"/>
                <w:spacing w:val="-10"/>
                <w:sz w:val="20"/>
                <w:szCs w:val="20"/>
              </w:rPr>
            </w:pP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default" w:ascii="宋体" w:eastAsia="宋体"/>
                <w:color w:val="auto"/>
                <w:spacing w:val="-10"/>
                <w:sz w:val="20"/>
                <w:szCs w:val="20"/>
                <w:lang w:val="en-US" w:eastAsia="zh-CN"/>
              </w:rPr>
            </w:pPr>
            <w:r>
              <w:rPr>
                <w:rFonts w:hint="eastAsia" w:ascii="宋体" w:hAnsi="宋体"/>
                <w:color w:val="auto"/>
                <w:spacing w:val="-10"/>
                <w:sz w:val="20"/>
                <w:szCs w:val="20"/>
              </w:rPr>
              <w:t>现场是否有产品检验报告</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z w:val="20"/>
                <w:szCs w:val="20"/>
                <w:lang w:eastAsia="zh-CN"/>
              </w:rPr>
              <w:t>，</w:t>
            </w:r>
            <w:r>
              <w:rPr>
                <w:rFonts w:hint="eastAsia" w:ascii="宋体" w:hAnsi="宋体"/>
                <w:color w:val="auto"/>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eastAsia="宋体" w:cs="宋体"/>
                <w:color w:val="auto"/>
                <w:spacing w:val="-10"/>
                <w:sz w:val="20"/>
                <w:szCs w:val="20"/>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spacing w:val="-10"/>
                <w:sz w:val="20"/>
                <w:szCs w:val="20"/>
                <w:lang w:val="en-US" w:eastAsia="zh-CN"/>
              </w:rPr>
            </w:pPr>
            <w:r>
              <w:rPr>
                <w:rFonts w:hint="eastAsia" w:ascii="宋体" w:hAnsi="宋体"/>
                <w:spacing w:val="-10"/>
                <w:sz w:val="20"/>
                <w:szCs w:val="20"/>
                <w:lang w:val="en-US" w:eastAsia="zh-CN"/>
              </w:rPr>
              <w:t>产品生产流程</w:t>
            </w:r>
          </w:p>
          <w:p>
            <w:pPr>
              <w:rPr>
                <w:rFonts w:hint="eastAsia" w:ascii="宋体" w:hAnsi="宋体"/>
                <w:spacing w:val="-10"/>
                <w:sz w:val="20"/>
                <w:szCs w:val="20"/>
                <w:lang w:val="en-US" w:eastAsia="zh-CN"/>
              </w:rPr>
            </w:pPr>
            <w:r>
              <w:rPr>
                <w:rFonts w:hint="eastAsia" w:ascii="宋体" w:hAnsi="宋体"/>
                <w:spacing w:val="-10"/>
                <w:sz w:val="20"/>
                <w:szCs w:val="20"/>
                <w:lang w:val="en-US" w:eastAsia="zh-CN"/>
              </w:rPr>
              <w:t>工装夹具工艺流程：下料——机械加工（车、铣、磨、线切割）一—热处理（外包）——平磨——表面处理（外包）——组装——检验。</w:t>
            </w:r>
          </w:p>
          <w:p>
            <w:pPr>
              <w:rPr>
                <w:rFonts w:hint="eastAsia" w:ascii="宋体" w:hAnsi="宋体"/>
                <w:spacing w:val="-10"/>
                <w:sz w:val="20"/>
                <w:szCs w:val="20"/>
                <w:lang w:val="en-US" w:eastAsia="zh-Hans"/>
              </w:rPr>
            </w:pPr>
            <w:r>
              <w:rPr>
                <w:rFonts w:hint="eastAsia" w:ascii="宋体" w:hAnsi="宋体"/>
                <w:spacing w:val="-10"/>
                <w:sz w:val="20"/>
                <w:szCs w:val="20"/>
                <w:lang w:val="en-US" w:eastAsia="zh-CN"/>
              </w:rPr>
              <w:t>塞规工艺流程：下料——机械加工（车、铣）一—热处理（外包）——表面处理（外包）--外圆磨——检验。</w:t>
            </w:r>
          </w:p>
          <w:p>
            <w:pPr>
              <w:rPr>
                <w:rFonts w:ascii="宋体"/>
                <w:color w:val="000000"/>
                <w:sz w:val="20"/>
                <w:szCs w:val="20"/>
              </w:rPr>
            </w:pPr>
            <w:r>
              <w:rPr>
                <w:rFonts w:hint="eastAsia" w:ascii="宋体" w:hAnsi="宋体"/>
                <w:spacing w:val="-10"/>
                <w:sz w:val="20"/>
                <w:szCs w:val="20"/>
                <w:lang w:val="en-US" w:eastAsia="zh-CN"/>
              </w:rPr>
              <w:t>特殊过程：</w:t>
            </w:r>
            <w:r>
              <w:rPr>
                <w:rFonts w:hint="eastAsia" w:ascii="宋体" w:hAnsi="宋体"/>
                <w:spacing w:val="-10"/>
                <w:sz w:val="20"/>
                <w:szCs w:val="20"/>
                <w:lang w:val="en-US" w:eastAsia="zh-Hans"/>
              </w:rPr>
              <w:t>热处理</w:t>
            </w:r>
            <w:r>
              <w:rPr>
                <w:rFonts w:hint="eastAsia" w:ascii="宋体" w:hAnsi="宋体"/>
                <w:spacing w:val="-10"/>
                <w:sz w:val="20"/>
                <w:szCs w:val="20"/>
                <w:lang w:val="en-US" w:eastAsia="zh-CN"/>
              </w:rPr>
              <w:t>、</w:t>
            </w:r>
            <w:r>
              <w:rPr>
                <w:rFonts w:hint="eastAsia" w:ascii="宋体" w:hAnsi="宋体"/>
                <w:spacing w:val="-10"/>
                <w:sz w:val="20"/>
                <w:szCs w:val="20"/>
                <w:lang w:val="en-US" w:eastAsia="zh-Hans"/>
              </w:rPr>
              <w:t>表处理</w:t>
            </w:r>
            <w:r>
              <w:rPr>
                <w:rFonts w:hint="default" w:ascii="宋体" w:hAnsi="宋体"/>
                <w:spacing w:val="-10"/>
                <w:sz w:val="20"/>
                <w:szCs w:val="20"/>
                <w:lang w:val="en-US" w:eastAsia="zh-Hans"/>
              </w:rPr>
              <w:t>（</w:t>
            </w:r>
            <w:r>
              <w:rPr>
                <w:rFonts w:hint="eastAsia" w:ascii="宋体" w:hAnsi="宋体"/>
                <w:spacing w:val="-10"/>
                <w:sz w:val="20"/>
                <w:szCs w:val="20"/>
                <w:lang w:val="en-US" w:eastAsia="zh-Hans"/>
              </w:rPr>
              <w:t>外协</w:t>
            </w:r>
            <w:r>
              <w:rPr>
                <w:rFonts w:hint="default" w:ascii="宋体" w:hAnsi="宋体"/>
                <w:spacing w:val="-10"/>
                <w:sz w:val="20"/>
                <w:szCs w:val="20"/>
                <w:lang w:val="en-US" w:eastAsia="zh-Hans"/>
              </w:rPr>
              <w:t>）</w:t>
            </w:r>
            <w:r>
              <w:rPr>
                <w:rFonts w:hint="eastAsia" w:ascii="宋体" w:hAnsi="宋体"/>
                <w:spacing w:val="-10"/>
                <w:sz w:val="20"/>
                <w:szCs w:val="20"/>
                <w:lang w:val="en-US" w:eastAsia="zh-CN"/>
              </w:rPr>
              <w:t xml:space="preserve">   关键过程：机加过程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sz w:val="20"/>
                <w:szCs w:val="20"/>
                <w:lang w:val="en-US"/>
              </w:rPr>
            </w:pPr>
            <w:r>
              <w:rPr>
                <w:rFonts w:hint="eastAsia" w:ascii="宋体" w:hAnsi="宋体" w:eastAsia="宋体" w:cs="Times New Roman"/>
                <w:bCs/>
                <w:spacing w:val="10"/>
                <w:kern w:val="2"/>
                <w:sz w:val="21"/>
                <w:szCs w:val="22"/>
                <w:lang w:val="en-US" w:eastAsia="zh-CN" w:bidi="ar-SA"/>
              </w:rPr>
              <w:t>关键过程：机加过程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spacing w:val="-10"/>
                <w:sz w:val="20"/>
                <w:szCs w:val="20"/>
                <w:lang w:val="en-US" w:eastAsia="zh-Hans"/>
              </w:rPr>
              <w:t>热处理</w:t>
            </w:r>
            <w:r>
              <w:rPr>
                <w:rFonts w:hint="eastAsia" w:ascii="宋体" w:hAnsi="宋体"/>
                <w:spacing w:val="-10"/>
                <w:sz w:val="20"/>
                <w:szCs w:val="20"/>
                <w:lang w:val="en-US" w:eastAsia="zh-CN"/>
              </w:rPr>
              <w:t>、</w:t>
            </w:r>
            <w:r>
              <w:rPr>
                <w:rFonts w:hint="eastAsia" w:ascii="宋体" w:hAnsi="宋体"/>
                <w:spacing w:val="-10"/>
                <w:sz w:val="20"/>
                <w:szCs w:val="20"/>
                <w:lang w:val="en-US" w:eastAsia="zh-Hans"/>
              </w:rPr>
              <w:t>表处理</w:t>
            </w:r>
            <w:r>
              <w:rPr>
                <w:rFonts w:hint="default" w:ascii="宋体" w:hAnsi="宋体"/>
                <w:spacing w:val="-10"/>
                <w:sz w:val="20"/>
                <w:szCs w:val="20"/>
                <w:lang w:val="en-US" w:eastAsia="zh-Hans"/>
              </w:rPr>
              <w:t>（</w:t>
            </w:r>
            <w:r>
              <w:rPr>
                <w:rFonts w:hint="eastAsia" w:ascii="宋体" w:hAnsi="宋体"/>
                <w:spacing w:val="-10"/>
                <w:sz w:val="20"/>
                <w:szCs w:val="20"/>
                <w:lang w:val="en-US" w:eastAsia="zh-Hans"/>
              </w:rPr>
              <w:t>外协</w:t>
            </w:r>
            <w:r>
              <w:rPr>
                <w:rFonts w:hint="default" w:ascii="宋体" w:hAnsi="宋体"/>
                <w:spacing w:val="-10"/>
                <w:sz w:val="20"/>
                <w:szCs w:val="20"/>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spacing w:val="-10"/>
                <w:sz w:val="20"/>
                <w:szCs w:val="20"/>
                <w:lang w:val="en-US" w:eastAsia="zh-Hans"/>
              </w:rPr>
              <w:t>热处理</w:t>
            </w:r>
            <w:r>
              <w:rPr>
                <w:rFonts w:hint="eastAsia" w:ascii="宋体" w:hAnsi="宋体"/>
                <w:spacing w:val="-10"/>
                <w:sz w:val="20"/>
                <w:szCs w:val="20"/>
                <w:lang w:val="en-US" w:eastAsia="zh-CN"/>
              </w:rPr>
              <w:t>、</w:t>
            </w:r>
            <w:r>
              <w:rPr>
                <w:rFonts w:hint="eastAsia" w:ascii="宋体" w:hAnsi="宋体"/>
                <w:spacing w:val="-10"/>
                <w:sz w:val="20"/>
                <w:szCs w:val="20"/>
                <w:lang w:val="en-US" w:eastAsia="zh-Hans"/>
              </w:rPr>
              <w:t>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z w:val="20"/>
                <w:szCs w:val="20"/>
                <w:lang w:eastAsia="zh-CN"/>
              </w:rPr>
              <w:t>外部供方</w:t>
            </w:r>
            <w:r>
              <w:rPr>
                <w:rFonts w:hint="eastAsia" w:ascii="宋体" w:hAnsi="宋体"/>
                <w:color w:val="000000"/>
                <w:sz w:val="20"/>
                <w:szCs w:val="20"/>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rPr>
              <w:t>：</w:t>
            </w:r>
            <w:r>
              <w:rPr>
                <w:rFonts w:hint="eastAsia"/>
                <w:color w:val="000000" w:themeColor="text1"/>
                <w:sz w:val="21"/>
                <w:szCs w:val="21"/>
                <w:lang w:val="en-US" w:eastAsia="zh-CN"/>
              </w:rPr>
              <w:t>电脑、办公设备电脑、办公设备、线切割机、铣床、磨床、数控车床、车床、自动攻丝机、钻床、压缩机等。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lang w:eastAsia="zh-CN"/>
              </w:rPr>
              <w:t>■</w:t>
            </w:r>
            <w:r>
              <w:rPr>
                <w:rFonts w:hint="eastAsia" w:ascii="宋体" w:hAnsi="宋体"/>
                <w:color w:val="auto"/>
                <w:sz w:val="20"/>
                <w:szCs w:val="20"/>
              </w:rPr>
              <w:t>是</w:t>
            </w:r>
            <w:r>
              <w:rPr>
                <w:rFonts w:hint="eastAsia" w:ascii="宋体" w:hAnsi="宋体"/>
                <w:color w:val="auto"/>
                <w:sz w:val="20"/>
                <w:szCs w:val="20"/>
              </w:rPr>
              <w:sym w:font="Wingdings 2" w:char="00A3"/>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auto"/>
                <w:sz w:val="20"/>
                <w:szCs w:val="20"/>
                <w:lang w:eastAsia="zh-CN"/>
              </w:rPr>
            </w:pPr>
            <w:r>
              <w:rPr>
                <w:rFonts w:hint="eastAsia" w:ascii="宋体" w:hAnsi="宋体"/>
                <w:color w:val="auto"/>
                <w:sz w:val="20"/>
                <w:szCs w:val="20"/>
              </w:rPr>
              <w:t>特种设备是否按规定检定</w:t>
            </w:r>
            <w:r>
              <w:rPr>
                <w:rFonts w:hint="eastAsia" w:ascii="宋体" w:hAnsi="宋体"/>
                <w:color w:val="auto"/>
                <w:sz w:val="20"/>
                <w:szCs w:val="20"/>
              </w:rPr>
              <w:sym w:font="Wingdings 2" w:char="00A3"/>
            </w:r>
            <w:r>
              <w:rPr>
                <w:rFonts w:hint="eastAsia" w:ascii="宋体" w:hAnsi="宋体"/>
                <w:color w:val="auto"/>
                <w:sz w:val="20"/>
                <w:szCs w:val="20"/>
              </w:rPr>
              <w:t>是</w:t>
            </w:r>
            <w:r>
              <w:rPr>
                <w:rFonts w:hint="eastAsia" w:ascii="宋体" w:hAnsi="宋体"/>
                <w:color w:val="auto"/>
                <w:sz w:val="20"/>
                <w:szCs w:val="20"/>
              </w:rPr>
              <w:sym w:font="Wingdings 2" w:char="00A3"/>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auto"/>
                <w:sz w:val="20"/>
                <w:szCs w:val="20"/>
                <w:lang w:val="en-US" w:eastAsia="zh-CN"/>
              </w:rPr>
            </w:pPr>
            <w:r>
              <w:rPr>
                <w:rFonts w:hint="eastAsia" w:ascii="宋体"/>
                <w:color w:val="auto"/>
                <w:sz w:val="20"/>
                <w:szCs w:val="20"/>
              </w:rPr>
              <w:t>监视和测量设备（请简述主要监视和测量设备）：</w:t>
            </w:r>
            <w:r>
              <w:rPr>
                <w:rFonts w:hint="eastAsia"/>
                <w:color w:val="auto"/>
                <w:sz w:val="21"/>
                <w:szCs w:val="21"/>
                <w:lang w:val="en-US" w:eastAsia="zh-CN"/>
              </w:rPr>
              <w:t>游标卡尺、数显千分尺、杠杆千分尺、量块等</w:t>
            </w:r>
            <w:r>
              <w:rPr>
                <w:rFonts w:hint="eastAsia" w:ascii="宋体"/>
                <w:color w:val="auto"/>
                <w:sz w:val="20"/>
                <w:szCs w:val="20"/>
                <w:lang w:val="en-US" w:eastAsia="zh-CN"/>
              </w:rPr>
              <w:t>。</w:t>
            </w:r>
            <w:r>
              <w:rPr>
                <w:rFonts w:hint="eastAsia"/>
                <w:color w:val="auto"/>
                <w:sz w:val="21"/>
                <w:szCs w:val="21"/>
                <w:lang w:val="en-US" w:eastAsia="zh-CN"/>
              </w:rPr>
              <w:t>组织能提供以上检测设备的有效校准记录</w:t>
            </w:r>
            <w:r>
              <w:rPr>
                <w:rFonts w:hint="eastAsia" w:ascii="宋体" w:hAnsi="宋体"/>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hAnsi="宋体"/>
                <w:color w:val="auto"/>
                <w:sz w:val="20"/>
                <w:szCs w:val="20"/>
                <w:lang w:eastAsia="zh-CN"/>
              </w:rPr>
              <w:t>■</w:t>
            </w:r>
            <w:r>
              <w:rPr>
                <w:rFonts w:hint="eastAsia" w:ascii="宋体"/>
                <w:color w:val="auto"/>
                <w:sz w:val="20"/>
                <w:szCs w:val="20"/>
              </w:rPr>
              <w:t>是</w:t>
            </w:r>
            <w:r>
              <w:rPr>
                <w:rFonts w:hint="eastAsia" w:ascii="宋体" w:hAnsi="宋体"/>
                <w:color w:val="auto"/>
                <w:sz w:val="20"/>
                <w:szCs w:val="20"/>
              </w:rPr>
              <w:sym w:font="Wingdings 2" w:char="00A3"/>
            </w:r>
            <w:r>
              <w:rPr>
                <w:rFonts w:hint="eastAsia" w:asci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auto"/>
                <w:sz w:val="20"/>
                <w:szCs w:val="20"/>
              </w:rPr>
            </w:pPr>
            <w:r>
              <w:rPr>
                <w:rFonts w:hint="eastAsia" w:ascii="宋体" w:hAnsi="宋体"/>
                <w:color w:val="auto"/>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szCs w:val="22"/>
                <w:lang w:eastAsia="zh-CN"/>
              </w:rPr>
              <w:t>生产部、质检</w:t>
            </w:r>
            <w:r>
              <w:rPr>
                <w:rFonts w:hint="eastAsia"/>
                <w:szCs w:val="22"/>
                <w:lang w:val="en-US" w:eastAsia="zh-CN"/>
              </w:rPr>
              <w:t>部</w:t>
            </w:r>
          </w:p>
          <w:p>
            <w:pPr>
              <w:spacing w:line="400" w:lineRule="exact"/>
              <w:rPr>
                <w:rFonts w:hint="eastAsia"/>
                <w:szCs w:val="22"/>
                <w:lang w:eastAsia="zh-CN"/>
              </w:rPr>
            </w:pPr>
            <w:r>
              <w:rPr>
                <w:rFonts w:hint="eastAsia" w:ascii="宋体" w:hAnsi="宋体"/>
                <w:b/>
                <w:color w:val="000000"/>
                <w:sz w:val="20"/>
                <w:szCs w:val="20"/>
              </w:rPr>
              <w:t>重点审核过程：</w:t>
            </w:r>
            <w:r>
              <w:rPr>
                <w:rFonts w:hint="eastAsia"/>
                <w:szCs w:val="22"/>
                <w:lang w:eastAsia="zh-CN"/>
              </w:rPr>
              <w:t>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szCs w:val="22"/>
                <w:lang w:eastAsia="zh-CN"/>
              </w:rPr>
              <w:t>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建立有《内部审核控制程序》，于</w:t>
            </w:r>
            <w:r>
              <w:rPr>
                <w:rFonts w:hint="eastAsia"/>
                <w:sz w:val="21"/>
                <w:szCs w:val="21"/>
                <w:highlight w:val="none"/>
                <w:lang w:eastAsia="zh-CN"/>
              </w:rPr>
              <w:t>2020年</w:t>
            </w:r>
            <w:r>
              <w:rPr>
                <w:rFonts w:hint="eastAsia"/>
                <w:sz w:val="21"/>
                <w:szCs w:val="21"/>
                <w:highlight w:val="none"/>
                <w:lang w:val="en-US" w:eastAsia="zh-CN"/>
              </w:rPr>
              <w:t>11</w:t>
            </w:r>
            <w:r>
              <w:rPr>
                <w:rFonts w:hint="eastAsia"/>
                <w:sz w:val="21"/>
                <w:szCs w:val="21"/>
                <w:highlight w:val="none"/>
                <w:lang w:eastAsia="zh-CN"/>
              </w:rPr>
              <w:t>月</w:t>
            </w:r>
            <w:r>
              <w:rPr>
                <w:rFonts w:hint="eastAsia"/>
                <w:sz w:val="21"/>
                <w:szCs w:val="21"/>
                <w:highlight w:val="none"/>
                <w:lang w:val="en-US" w:eastAsia="zh-CN"/>
              </w:rPr>
              <w:t>10</w:t>
            </w:r>
            <w:r>
              <w:rPr>
                <w:rFonts w:hint="eastAsia"/>
                <w:sz w:val="21"/>
                <w:szCs w:val="21"/>
                <w:highlight w:val="none"/>
                <w:lang w:eastAsia="zh-CN"/>
              </w:rPr>
              <w:t>日</w:t>
            </w:r>
            <w:r>
              <w:rPr>
                <w:rFonts w:hint="eastAsia"/>
                <w:sz w:val="21"/>
                <w:szCs w:val="21"/>
              </w:rPr>
              <w:t>进行了内部审核。内部审核组组成：</w:t>
            </w:r>
            <w:r>
              <w:rPr>
                <w:rFonts w:hint="eastAsia" w:ascii="宋体" w:hAnsi="宋体" w:cs="宋体"/>
                <w:color w:val="000000"/>
              </w:rPr>
              <w:t>组长：</w:t>
            </w:r>
            <w:r>
              <w:rPr>
                <w:rFonts w:hint="eastAsia" w:ascii="宋体" w:hAnsi="宋体" w:cs="宋体"/>
                <w:color w:val="000000"/>
                <w:lang w:eastAsia="zh-CN"/>
              </w:rPr>
              <w:t>冯杰</w:t>
            </w:r>
            <w:r>
              <w:rPr>
                <w:rFonts w:hint="eastAsia" w:ascii="宋体" w:hAnsi="宋体" w:cs="宋体"/>
                <w:color w:val="000000"/>
                <w:lang w:val="en-US" w:eastAsia="zh-CN"/>
              </w:rPr>
              <w:t xml:space="preserve"> （管代、行政部）  </w:t>
            </w:r>
            <w:r>
              <w:rPr>
                <w:rFonts w:hint="eastAsia" w:ascii="宋体" w:hAnsi="宋体" w:cs="宋体"/>
                <w:color w:val="000000"/>
              </w:rPr>
              <w:t xml:space="preserve">    组员： </w:t>
            </w:r>
            <w:r>
              <w:rPr>
                <w:rFonts w:hint="eastAsia" w:ascii="宋体" w:hAnsi="宋体" w:cs="宋体"/>
                <w:color w:val="000000"/>
                <w:lang w:eastAsia="zh-CN"/>
              </w:rPr>
              <w:t>吴国斌</w:t>
            </w:r>
            <w:r>
              <w:rPr>
                <w:rFonts w:hint="eastAsia" w:ascii="宋体" w:hAnsi="宋体" w:cs="宋体"/>
                <w:color w:val="000000"/>
                <w:lang w:val="en-US" w:eastAsia="zh-CN"/>
              </w:rPr>
              <w:t xml:space="preserve"> （生产部）</w:t>
            </w:r>
            <w:r>
              <w:rPr>
                <w:rFonts w:hint="eastAsia" w:ascii="Times New Roman" w:hAnsi="Times New Roman" w:eastAsia="宋体" w:cs="Times New Roman"/>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jc w:val="left"/>
              <w:rPr>
                <w:rFonts w:hint="eastAsia"/>
                <w:sz w:val="21"/>
                <w:szCs w:val="21"/>
              </w:rPr>
            </w:pPr>
            <w:r>
              <w:rPr>
                <w:rFonts w:hint="eastAsia"/>
                <w:sz w:val="21"/>
                <w:szCs w:val="21"/>
              </w:rPr>
              <w:t>审核范围:管理体系涉及的公司所有部门、生产车间及活动场所。</w:t>
            </w:r>
          </w:p>
          <w:p>
            <w:pPr>
              <w:jc w:val="left"/>
              <w:rPr>
                <w:rFonts w:ascii="宋体"/>
                <w:b/>
                <w:color w:val="000000"/>
                <w:sz w:val="20"/>
                <w:szCs w:val="20"/>
              </w:rPr>
            </w:pPr>
            <w:r>
              <w:rPr>
                <w:rFonts w:hint="eastAsia"/>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jc w:val="left"/>
              <w:rPr>
                <w:rFonts w:hint="eastAsia"/>
                <w:sz w:val="21"/>
                <w:szCs w:val="21"/>
              </w:rPr>
            </w:pPr>
            <w:r>
              <w:rPr>
                <w:rFonts w:hint="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jc w:val="left"/>
              <w:rPr>
                <w:rFonts w:hint="eastAsia"/>
                <w:sz w:val="21"/>
                <w:szCs w:val="21"/>
              </w:rPr>
            </w:pPr>
            <w:r>
              <w:rPr>
                <w:rFonts w:hint="eastAsia"/>
                <w:sz w:val="21"/>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auto"/>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auto"/>
                <w:sz w:val="20"/>
                <w:szCs w:val="20"/>
              </w:rPr>
            </w:pPr>
            <w:r>
              <w:rPr>
                <w:rFonts w:ascii="宋体" w:hAnsi="宋体"/>
                <w:b/>
                <w:color w:val="auto"/>
                <w:sz w:val="20"/>
                <w:szCs w:val="20"/>
              </w:rPr>
              <w:t xml:space="preserve">1. </w:t>
            </w:r>
            <w:r>
              <w:rPr>
                <w:rFonts w:hint="eastAsia" w:ascii="宋体" w:hAnsi="宋体"/>
                <w:b/>
                <w:color w:val="auto"/>
                <w:sz w:val="20"/>
                <w:szCs w:val="20"/>
              </w:rPr>
              <w:t>组织是否具备二阶段审核条件</w:t>
            </w:r>
            <w:r>
              <w:rPr>
                <w:rFonts w:ascii="宋体" w:hAnsi="宋体"/>
                <w:b/>
                <w:color w:val="auto"/>
                <w:sz w:val="20"/>
                <w:szCs w:val="20"/>
              </w:rPr>
              <w:t>(</w:t>
            </w:r>
            <w:r>
              <w:rPr>
                <w:rFonts w:hint="eastAsia" w:ascii="宋体" w:hAnsi="宋体"/>
                <w:b/>
                <w:color w:val="auto"/>
                <w:spacing w:val="-10"/>
                <w:sz w:val="20"/>
                <w:szCs w:val="20"/>
                <w:lang w:val="de-DE" w:eastAsia="zh-CN"/>
              </w:rPr>
              <w:t>■</w:t>
            </w:r>
            <w:r>
              <w:rPr>
                <w:rFonts w:ascii="宋体" w:hAnsi="宋体"/>
                <w:b/>
                <w:color w:val="auto"/>
                <w:sz w:val="20"/>
                <w:szCs w:val="20"/>
              </w:rPr>
              <w:t>QMS /</w:t>
            </w:r>
            <w:r>
              <w:rPr>
                <w:rFonts w:hint="eastAsia" w:ascii="宋体" w:hAnsi="宋体"/>
                <w:b/>
                <w:color w:val="auto"/>
                <w:spacing w:val="-10"/>
                <w:sz w:val="20"/>
                <w:szCs w:val="20"/>
                <w:lang w:val="de-DE"/>
              </w:rPr>
              <w:t>□</w:t>
            </w:r>
            <w:r>
              <w:rPr>
                <w:rFonts w:ascii="宋体" w:hAnsi="宋体"/>
                <w:b/>
                <w:color w:val="auto"/>
                <w:sz w:val="20"/>
                <w:szCs w:val="20"/>
              </w:rPr>
              <w:t>EMS/</w:t>
            </w:r>
            <w:r>
              <w:rPr>
                <w:rFonts w:hint="eastAsia" w:ascii="宋体" w:hAnsi="宋体"/>
                <w:b/>
                <w:color w:val="auto"/>
                <w:spacing w:val="-10"/>
                <w:sz w:val="20"/>
                <w:szCs w:val="20"/>
                <w:lang w:val="de-DE"/>
              </w:rPr>
              <w:t>□</w:t>
            </w:r>
            <w:r>
              <w:rPr>
                <w:rFonts w:ascii="宋体" w:hAnsi="宋体"/>
                <w:b/>
                <w:color w:val="auto"/>
                <w:sz w:val="20"/>
                <w:szCs w:val="20"/>
              </w:rPr>
              <w:t>OHSMS)</w:t>
            </w:r>
          </w:p>
          <w:p>
            <w:pPr>
              <w:spacing w:line="280" w:lineRule="exact"/>
              <w:rPr>
                <w:rFonts w:ascii="宋体"/>
                <w:b/>
                <w:color w:val="auto"/>
                <w:sz w:val="20"/>
                <w:szCs w:val="20"/>
              </w:rPr>
            </w:pPr>
            <w:r>
              <w:rPr>
                <w:rFonts w:hint="eastAsia" w:ascii="宋体" w:hAnsi="宋体"/>
                <w:b/>
                <w:color w:val="auto"/>
                <w:spacing w:val="-10"/>
                <w:sz w:val="20"/>
                <w:szCs w:val="20"/>
                <w:lang w:eastAsia="zh-CN"/>
              </w:rPr>
              <w:t>■</w:t>
            </w:r>
            <w:r>
              <w:rPr>
                <w:rFonts w:hint="eastAsia" w:ascii="宋体" w:hAnsi="宋体"/>
                <w:b/>
                <w:color w:val="auto"/>
                <w:sz w:val="20"/>
                <w:szCs w:val="20"/>
              </w:rPr>
              <w:t>具备</w:t>
            </w:r>
          </w:p>
          <w:p>
            <w:pPr>
              <w:tabs>
                <w:tab w:val="left" w:pos="5770"/>
              </w:tabs>
              <w:spacing w:line="360" w:lineRule="exact"/>
              <w:rPr>
                <w:rFonts w:ascii="宋体"/>
                <w:b/>
                <w:color w:val="auto"/>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需改进</w:t>
            </w:r>
            <w:r>
              <w:rPr>
                <w:rFonts w:ascii="宋体" w:hAnsi="宋体"/>
                <w:b/>
                <w:color w:val="auto"/>
                <w:sz w:val="20"/>
                <w:szCs w:val="20"/>
              </w:rPr>
              <w:t xml:space="preserve">, </w:t>
            </w:r>
            <w:r>
              <w:rPr>
                <w:rFonts w:hint="eastAsia" w:ascii="宋体" w:hAnsi="宋体"/>
                <w:b/>
                <w:color w:val="auto"/>
                <w:sz w:val="20"/>
                <w:szCs w:val="20"/>
              </w:rPr>
              <w:t>二阶段审核现场验证</w:t>
            </w:r>
            <w:r>
              <w:rPr>
                <w:rFonts w:ascii="宋体"/>
                <w:b/>
                <w:color w:val="auto"/>
                <w:sz w:val="20"/>
                <w:szCs w:val="20"/>
              </w:rPr>
              <w:tab/>
            </w:r>
          </w:p>
          <w:p>
            <w:pPr>
              <w:spacing w:line="360" w:lineRule="exact"/>
              <w:rPr>
                <w:rFonts w:ascii="宋体"/>
                <w:b/>
                <w:color w:val="auto"/>
                <w:sz w:val="20"/>
                <w:szCs w:val="20"/>
              </w:rPr>
            </w:pPr>
            <w:r>
              <w:rPr>
                <w:rFonts w:hint="eastAsia" w:ascii="宋体" w:hAnsi="宋体"/>
                <w:b/>
                <w:color w:val="auto"/>
                <w:spacing w:val="-10"/>
                <w:sz w:val="20"/>
                <w:szCs w:val="20"/>
                <w:lang w:val="de-DE"/>
              </w:rPr>
              <w:t>□</w:t>
            </w:r>
            <w:r>
              <w:rPr>
                <w:rFonts w:hint="eastAsia" w:ascii="宋体" w:hAnsi="宋体"/>
                <w:b/>
                <w:color w:val="auto"/>
                <w:sz w:val="20"/>
                <w:szCs w:val="20"/>
              </w:rPr>
              <w:t>需改进</w:t>
            </w:r>
            <w:r>
              <w:rPr>
                <w:rFonts w:ascii="宋体" w:hAnsi="宋体"/>
                <w:b/>
                <w:color w:val="auto"/>
                <w:sz w:val="20"/>
                <w:szCs w:val="20"/>
              </w:rPr>
              <w:t xml:space="preserve">, </w:t>
            </w:r>
            <w:r>
              <w:rPr>
                <w:rFonts w:hint="eastAsia" w:ascii="宋体" w:hAnsi="宋体"/>
                <w:b/>
                <w:color w:val="auto"/>
                <w:sz w:val="20"/>
                <w:szCs w:val="20"/>
              </w:rPr>
              <w:t>二阶段审核前需完成“问题清单”的整改</w:t>
            </w:r>
            <w:r>
              <w:rPr>
                <w:rFonts w:ascii="宋体" w:hAnsi="宋体"/>
                <w:b/>
                <w:color w:val="auto"/>
                <w:sz w:val="20"/>
                <w:szCs w:val="20"/>
              </w:rPr>
              <w:t>(</w:t>
            </w:r>
            <w:r>
              <w:rPr>
                <w:rFonts w:hint="eastAsia" w:ascii="宋体" w:hAnsi="宋体"/>
                <w:b/>
                <w:color w:val="auto"/>
                <w:sz w:val="20"/>
                <w:szCs w:val="20"/>
              </w:rPr>
              <w:t>附件二</w:t>
            </w:r>
            <w:r>
              <w:rPr>
                <w:rFonts w:ascii="宋体" w:hAnsi="宋体"/>
                <w:b/>
                <w:color w:val="auto"/>
                <w:sz w:val="20"/>
                <w:szCs w:val="20"/>
              </w:rPr>
              <w:t xml:space="preserve">)   </w:t>
            </w:r>
          </w:p>
          <w:p>
            <w:pPr>
              <w:spacing w:line="280" w:lineRule="exact"/>
              <w:rPr>
                <w:rFonts w:ascii="宋体"/>
                <w:b/>
                <w:color w:val="auto"/>
                <w:sz w:val="16"/>
                <w:szCs w:val="16"/>
              </w:rPr>
            </w:pPr>
            <w:r>
              <w:rPr>
                <w:rFonts w:hint="eastAsia" w:ascii="宋体" w:hAnsi="宋体"/>
                <w:b/>
                <w:color w:val="auto"/>
                <w:spacing w:val="-10"/>
                <w:sz w:val="20"/>
                <w:szCs w:val="20"/>
              </w:rPr>
              <w:t>□</w:t>
            </w:r>
            <w:r>
              <w:rPr>
                <w:rFonts w:hint="eastAsia" w:ascii="宋体" w:hAnsi="宋体"/>
                <w:b/>
                <w:color w:val="auto"/>
                <w:sz w:val="20"/>
                <w:szCs w:val="20"/>
              </w:rPr>
              <w:t>不具备</w:t>
            </w:r>
            <w:r>
              <w:rPr>
                <w:rFonts w:ascii="宋体" w:hAnsi="宋体"/>
                <w:b/>
                <w:color w:val="auto"/>
                <w:sz w:val="20"/>
                <w:szCs w:val="20"/>
              </w:rPr>
              <w:t xml:space="preserve">, </w:t>
            </w:r>
            <w:r>
              <w:rPr>
                <w:rFonts w:hint="eastAsia" w:ascii="宋体" w:hAnsi="宋体"/>
                <w:b/>
                <w:color w:val="auto"/>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b w:val="0"/>
          <w:bCs/>
          <w:color w:val="000000"/>
          <w:sz w:val="20"/>
          <w:szCs w:val="20"/>
          <w:u w:val="single"/>
        </w:rPr>
        <w:t>工装夹具、非标量具（塞规）的设计及生产</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1911985</wp:posOffset>
            </wp:positionH>
            <wp:positionV relativeFrom="paragraph">
              <wp:posOffset>206375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5408" behindDoc="0" locked="0" layoutInCell="1" allowOverlap="1">
            <wp:simplePos x="0" y="0"/>
            <wp:positionH relativeFrom="column">
              <wp:posOffset>1920240</wp:posOffset>
            </wp:positionH>
            <wp:positionV relativeFrom="paragraph">
              <wp:posOffset>41910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02</w:t>
      </w:r>
      <w:r>
        <w:rPr>
          <w:rFonts w:hint="eastAsia"/>
          <w:color w:val="000000"/>
          <w:szCs w:val="21"/>
        </w:rPr>
        <w:t>月</w:t>
      </w:r>
      <w:r>
        <w:rPr>
          <w:rFonts w:hint="eastAsia"/>
          <w:color w:val="000000"/>
          <w:szCs w:val="21"/>
          <w:lang w:val="en-US" w:eastAsia="zh-CN"/>
        </w:rPr>
        <w:t>27</w:t>
      </w:r>
      <w:r>
        <w:rPr>
          <w:rFonts w:hint="eastAsia"/>
          <w:color w:val="000000"/>
          <w:szCs w:val="21"/>
        </w:rPr>
        <w:t>日</w:t>
      </w:r>
    </w:p>
    <w:p>
      <w:pPr>
        <w:tabs>
          <w:tab w:val="left" w:pos="645"/>
        </w:tabs>
        <w:spacing w:after="156" w:afterLines="50" w:line="360" w:lineRule="exact"/>
        <w:ind w:firstLine="261" w:firstLineChars="100"/>
        <w:rPr>
          <w:rFonts w:hint="eastAsia" w:ascii="宋体" w:hAnsi="宋体"/>
          <w:b/>
          <w:bCs/>
          <w:color w:val="000000"/>
          <w:sz w:val="26"/>
          <w:szCs w:val="26"/>
        </w:rPr>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受审核方：重庆晟元机械制造有限公司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26"/>
        <w:gridCol w:w="234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026"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343"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026" w:type="dxa"/>
            <w:vAlign w:val="center"/>
          </w:tcPr>
          <w:p>
            <w:pPr>
              <w:pStyle w:val="5"/>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r>
              <w:rPr>
                <w:rFonts w:hint="eastAsia" w:cs="Times New Roman"/>
                <w:color w:val="000000"/>
                <w:kern w:val="2"/>
                <w:sz w:val="24"/>
                <w:szCs w:val="24"/>
                <w:lang w:val="en-US" w:eastAsia="zh-CN" w:bidi="ar-SA"/>
              </w:rPr>
              <w:t>无</w:t>
            </w:r>
          </w:p>
        </w:tc>
        <w:tc>
          <w:tcPr>
            <w:tcW w:w="2343"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p>
        </w:tc>
        <w:tc>
          <w:tcPr>
            <w:tcW w:w="1811" w:type="dxa"/>
            <w:vAlign w:val="center"/>
          </w:tcPr>
          <w:p>
            <w:pPr>
              <w:pStyle w:val="5"/>
              <w:pBdr>
                <w:bottom w:val="none" w:color="auto" w:sz="0" w:space="0"/>
              </w:pBdr>
              <w:ind w:right="600" w:rightChars="0"/>
              <w:jc w:val="both"/>
              <w:rPr>
                <w:rFonts w:hint="default" w:ascii="Calibri" w:hAnsi="Calibri" w:eastAsia="宋体"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026" w:type="dxa"/>
            <w:vAlign w:val="center"/>
          </w:tcPr>
          <w:p>
            <w:pPr>
              <w:pStyle w:val="5"/>
              <w:pBdr>
                <w:bottom w:val="none" w:color="auto" w:sz="0" w:space="0"/>
              </w:pBdr>
              <w:tabs>
                <w:tab w:val="center" w:pos="5737"/>
                <w:tab w:val="clear" w:pos="4153"/>
              </w:tabs>
              <w:jc w:val="both"/>
              <w:rPr>
                <w:color w:val="000000"/>
                <w:sz w:val="24"/>
                <w:szCs w:val="24"/>
              </w:rPr>
            </w:pPr>
          </w:p>
        </w:tc>
        <w:tc>
          <w:tcPr>
            <w:tcW w:w="2343"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sz w:val="22"/>
                <w:szCs w:val="22"/>
              </w:rPr>
              <w:drawing>
                <wp:anchor distT="0" distB="0" distL="114300" distR="114300" simplePos="0" relativeHeight="251669504" behindDoc="0" locked="0" layoutInCell="1" allowOverlap="1">
                  <wp:simplePos x="0" y="0"/>
                  <wp:positionH relativeFrom="column">
                    <wp:posOffset>498475</wp:posOffset>
                  </wp:positionH>
                  <wp:positionV relativeFrom="paragraph">
                    <wp:posOffset>3175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pStyle w:val="2"/>
            </w:pP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27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27</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sz w:val="22"/>
                <w:szCs w:val="22"/>
              </w:rPr>
              <w:drawing>
                <wp:anchor distT="0" distB="0" distL="114300" distR="114300" simplePos="0" relativeHeight="251673600" behindDoc="0" locked="0" layoutInCell="1" allowOverlap="1">
                  <wp:simplePos x="0" y="0"/>
                  <wp:positionH relativeFrom="column">
                    <wp:posOffset>731520</wp:posOffset>
                  </wp:positionH>
                  <wp:positionV relativeFrom="paragraph">
                    <wp:posOffset>4445</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28</w:t>
            </w:r>
            <w:bookmarkStart w:id="25" w:name="_GoBack"/>
            <w:bookmarkEnd w:id="25"/>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421B6B"/>
    <w:rsid w:val="0952186D"/>
    <w:rsid w:val="10985BC4"/>
    <w:rsid w:val="194470BB"/>
    <w:rsid w:val="1A8A6A11"/>
    <w:rsid w:val="2CF53626"/>
    <w:rsid w:val="46CF100D"/>
    <w:rsid w:val="485C3A25"/>
    <w:rsid w:val="52BC6945"/>
    <w:rsid w:val="644208B3"/>
    <w:rsid w:val="67D923D0"/>
    <w:rsid w:val="72931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2021-03-03T07:27:10Z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