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0122-2021-QEO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成都高新区建管绿化工程有限公司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成都高新区仁和街148号18栋</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成都高新区仁和街148号18栋</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91510100633145736E</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18829841889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王玺</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吴金成</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61</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Q：园林绿化工程施工与养护，花卉苗木的销售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E：园林绿化工程施工与养护，花卉苗木的销售所涉及场所的相关环境管理活动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O：园林绿化工程施工与养护，花卉苗木的销售所涉及的相关职业健康安全管理活动</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3873500</wp:posOffset>
            </wp:positionH>
            <wp:positionV relativeFrom="paragraph">
              <wp:posOffset>134620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bookmarkStart w:id="16" w:name="_GoBack"/>
      <w:bookmarkEnd w:id="16"/>
    </w:p>
    <w:p>
      <w:pPr>
        <w:pStyle w:val="2"/>
        <w:spacing w:line="360" w:lineRule="exact"/>
        <w:ind w:firstLine="0"/>
        <w:rPr>
          <w:rFonts w:hint="default"/>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2021年3月4日</w:t>
      </w:r>
      <w:r>
        <w:rPr>
          <w:rFonts w:hint="eastAsia"/>
          <w:b/>
          <w:color w:val="000000" w:themeColor="text1"/>
          <w:sz w:val="22"/>
          <w:szCs w:val="22"/>
        </w:rPr>
        <w:t xml:space="preserve">                        日期：</w:t>
      </w:r>
      <w:r>
        <w:rPr>
          <w:rFonts w:hint="eastAsia"/>
          <w:b/>
          <w:color w:val="000000" w:themeColor="text1"/>
          <w:sz w:val="22"/>
          <w:szCs w:val="22"/>
          <w:lang w:val="en-US" w:eastAsia="zh-CN"/>
        </w:rPr>
        <w:t>2021年3月4日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EC5F84"/>
    <w:rsid w:val="53B806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2021-03-04T07:31:50Z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