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成都高新区建管绿化工程有限公司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生产经营部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黄喜红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/>
                <w:b/>
                <w:bCs/>
                <w:color w:val="000000"/>
                <w:kern w:val="0"/>
                <w:szCs w:val="21"/>
                <w:highlight w:val="none"/>
              </w:rPr>
              <w:t>现场查看，修剪枝叶垃圾</w:t>
            </w:r>
            <w:r>
              <w:rPr>
                <w:rFonts w:hint="eastAsia" w:ascii="宋体"/>
                <w:b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未按要求存放在指定地点，堆放杂乱</w:t>
            </w:r>
            <w:r>
              <w:rPr>
                <w:rFonts w:hint="eastAsia" w:ascii="宋体"/>
                <w:b/>
                <w:bCs/>
                <w:color w:val="000000"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/>
                <w:b/>
                <w:bCs/>
                <w:color w:val="000000"/>
                <w:kern w:val="0"/>
                <w:szCs w:val="21"/>
                <w:highlight w:val="none"/>
              </w:rPr>
              <w:t>清运过程</w:t>
            </w:r>
            <w:r>
              <w:rPr>
                <w:rFonts w:hint="eastAsia" w:ascii="宋体"/>
                <w:b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中有</w:t>
            </w:r>
            <w:r>
              <w:rPr>
                <w:rFonts w:hint="eastAsia" w:ascii="宋体"/>
                <w:b/>
                <w:bCs/>
                <w:color w:val="000000"/>
                <w:kern w:val="0"/>
                <w:szCs w:val="21"/>
                <w:highlight w:val="none"/>
              </w:rPr>
              <w:t>垃圾遗落</w:t>
            </w:r>
            <w:r>
              <w:rPr>
                <w:rFonts w:hint="eastAsia" w:ascii="宋体"/>
                <w:b/>
                <w:bCs/>
                <w:color w:val="000000"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/>
                <w:b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不符合 GB/T24001-2016标准8.1)组织应建立、实施、控制并保持满足环境管理体系要求以及实施6.1和6.2所识别的措施所需的过程，通过：按照运行准则实施过程控制。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3147060</wp:posOffset>
                  </wp:positionH>
                  <wp:positionV relativeFrom="paragraph">
                    <wp:posOffset>151765</wp:posOffset>
                  </wp:positionV>
                  <wp:extent cx="323850" cy="335280"/>
                  <wp:effectExtent l="0" t="0" r="11430" b="0"/>
                  <wp:wrapNone/>
                  <wp:docPr id="2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664845</wp:posOffset>
                  </wp:positionH>
                  <wp:positionV relativeFrom="paragraph">
                    <wp:posOffset>129540</wp:posOffset>
                  </wp:positionV>
                  <wp:extent cx="323850" cy="335280"/>
                  <wp:effectExtent l="0" t="0" r="11430" b="0"/>
                  <wp:wrapNone/>
                  <wp:docPr id="5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2021.3.4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2021.3.4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bookmarkStart w:id="5" w:name="_GoBack"/>
            <w:bookmarkEnd w:id="5"/>
            <w:r>
              <w:rPr>
                <w:rFonts w:hint="eastAsia" w:ascii="方正仿宋简体" w:eastAsia="方正仿宋简体"/>
                <w:b/>
                <w:sz w:val="24"/>
              </w:rPr>
              <w:t xml:space="preserve">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2D1400"/>
    <w:rsid w:val="42056C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2021-03-04T03:56:17Z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