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四川省浪樱照明工程有限公司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0118-2021-EO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sz w:val="21"/>
              </w:rPr>
              <w:t xml:space="preserve">91510107669682429C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spacing w:line="440" w:lineRule="exact"/>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spacing w:line="440" w:lineRule="exact"/>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spacing w:line="440" w:lineRule="exact"/>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spacing w:line="440" w:lineRule="exact"/>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spacing w:line="440" w:lineRule="exact"/>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lang w:eastAsia="zh-CN"/>
              </w:rPr>
              <w:t>■</w:t>
            </w:r>
            <w:bookmarkStart w:id="2" w:name="_GoBack"/>
            <w:bookmarkEnd w:id="2"/>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4043680</wp:posOffset>
                  </wp:positionH>
                  <wp:positionV relativeFrom="paragraph">
                    <wp:posOffset>19685</wp:posOffset>
                  </wp:positionV>
                  <wp:extent cx="757555" cy="419735"/>
                  <wp:effectExtent l="0" t="0" r="4445" b="1206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5670" w:firstLineChars="27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2021年2月27日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ind w:firstLine="3150" w:firstLineChars="15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2505" w:firstLineChars="1193"/>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FD7F67"/>
    <w:rsid w:val="767E32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2021-03-01T06:52:08Z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