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四川省浪樱照明工程有限公司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签订</w:t>
            </w:r>
            <w:r>
              <w:rPr>
                <w:rFonts w:ascii="宋体" w:hAnsi="宋体"/>
                <w:sz w:val="24"/>
              </w:rPr>
              <w:t>合同</w:t>
            </w:r>
            <w:r>
              <w:rPr>
                <w:rFonts w:hint="eastAsia" w:ascii="宋体" w:hAnsi="宋体"/>
                <w:sz w:val="24"/>
              </w:rPr>
              <w:t>→产</w:t>
            </w:r>
            <w:r>
              <w:rPr>
                <w:rFonts w:ascii="宋体" w:hAnsi="宋体"/>
                <w:sz w:val="24"/>
              </w:rPr>
              <w:t>品采购</w:t>
            </w:r>
            <w:r>
              <w:rPr>
                <w:rFonts w:hint="eastAsia" w:ascii="宋体" w:hAnsi="宋体"/>
                <w:sz w:val="24"/>
              </w:rPr>
              <w:t>→产</w:t>
            </w:r>
            <w:r>
              <w:rPr>
                <w:rFonts w:ascii="宋体" w:hAnsi="宋体"/>
                <w:sz w:val="24"/>
              </w:rPr>
              <w:t>品</w:t>
            </w:r>
            <w:r>
              <w:rPr>
                <w:rFonts w:hint="eastAsia" w:ascii="宋体" w:hAnsi="宋体"/>
                <w:sz w:val="24"/>
              </w:rPr>
              <w:t>交付→款</w:t>
            </w:r>
            <w:r>
              <w:rPr>
                <w:rFonts w:ascii="宋体" w:hAnsi="宋体"/>
                <w:sz w:val="24"/>
              </w:rPr>
              <w:t>项回收</w:t>
            </w:r>
            <w:r>
              <w:rPr>
                <w:rFonts w:hint="eastAsia" w:ascii="宋体" w:hAnsi="宋体"/>
                <w:sz w:val="24"/>
              </w:rPr>
              <w:t>→售</w:t>
            </w:r>
            <w:r>
              <w:rPr>
                <w:rFonts w:ascii="宋体" w:hAnsi="宋体"/>
                <w:sz w:val="24"/>
              </w:rPr>
              <w:t>后维护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潜在火灾和固废排放，采取管理方案和应急处理方案控制。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火灾、触电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中华人民共和国产品质量法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中华人民共和国招投标法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中华人民共和国消防法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中华人民共和国大气污染防治法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中华人民共和国环境噪声污染防治法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中华人民共和国固体废物污染防治法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大气污染物综合排放标准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104775</wp:posOffset>
            </wp:positionV>
            <wp:extent cx="757555" cy="419735"/>
            <wp:effectExtent l="0" t="0" r="4445" b="1206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2021年2月27日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2021年2月27日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0E01D7E"/>
    <w:rsid w:val="40362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2021-03-01T03:40:46Z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