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06"/>
        <w:gridCol w:w="90"/>
        <w:gridCol w:w="690"/>
        <w:gridCol w:w="720"/>
        <w:gridCol w:w="319"/>
        <w:gridCol w:w="1123"/>
        <w:gridCol w:w="77"/>
        <w:gridCol w:w="1323"/>
        <w:gridCol w:w="567"/>
        <w:gridCol w:w="852"/>
        <w:gridCol w:w="566"/>
        <w:gridCol w:w="425"/>
        <w:gridCol w:w="425"/>
        <w:gridCol w:w="23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重庆鑫玉建设项目管理有限公司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0121-2021-QEO</w:t>
            </w:r>
            <w:bookmarkEnd w:id="1"/>
          </w:p>
        </w:tc>
        <w:tc>
          <w:tcPr>
            <w:tcW w:w="13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陈洪</w:t>
            </w:r>
            <w:bookmarkEnd w:id="5"/>
          </w:p>
        </w:tc>
        <w:tc>
          <w:tcPr>
            <w:tcW w:w="13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67506658</w:t>
            </w:r>
            <w:bookmarkEnd w:id="6"/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27958782@qq.com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陈泯钢</w:t>
            </w:r>
          </w:p>
        </w:tc>
        <w:tc>
          <w:tcPr>
            <w:tcW w:w="13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1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9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Q：工程招标代理、工程监理（限许可范围内）、工程造价咨询服务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E：工程招标代理、工程监理（限许可范围内）、工程造价咨询服务所涉及场所的相关环境管理活动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O：工程招标代理、工程监理（限许可范围内）、工程造价咨询服务所涉及场所的相关职业健康安全管理活动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Q：34.01.02;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2021年02月26日 上午至2021年02月26日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67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23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02月26日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08：00-08：30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杨珍全、张心、冉景洲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08：30-16：30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（午餐时间12：00-13：00）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巡视和观察，从总体上初步判断受审核方的实际情况（包括实际的产品或服务类别、部门设置、资源状况、环境因素或危险源识别与控制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别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杨珍全、张心、冉景洲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</w:t>
            </w:r>
            <w:r>
              <w:rPr>
                <w:rFonts w:hint="eastAsia"/>
                <w:b/>
                <w:sz w:val="20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杨珍全、张心、冉景洲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97C16"/>
    <w:rsid w:val="11916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2021-02-28T03:41:43Z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