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受审核部门：管理层（含员工代表）</w:t>
            </w:r>
          </w:p>
          <w:p>
            <w:pPr>
              <w:rPr>
                <w:sz w:val="24"/>
                <w:szCs w:val="24"/>
              </w:rPr>
            </w:pPr>
            <w:r>
              <w:rPr>
                <w:rFonts w:hint="eastAsia"/>
                <w:sz w:val="24"/>
                <w:szCs w:val="24"/>
              </w:rPr>
              <w:t>主管领导：总经理：</w:t>
            </w:r>
            <w:r>
              <w:rPr>
                <w:rFonts w:hint="eastAsia"/>
                <w:sz w:val="24"/>
                <w:szCs w:val="22"/>
              </w:rPr>
              <w:t xml:space="preserve"> 总经理：</w:t>
            </w:r>
            <w:r>
              <w:rPr>
                <w:rFonts w:hint="eastAsia"/>
              </w:rPr>
              <w:t>傲乐涵</w:t>
            </w:r>
            <w:r>
              <w:rPr>
                <w:rFonts w:hint="eastAsia"/>
                <w:sz w:val="24"/>
                <w:szCs w:val="24"/>
              </w:rPr>
              <w:t xml:space="preserve">        陪同人员：</w:t>
            </w:r>
            <w:r>
              <w:rPr>
                <w:rFonts w:hint="eastAsia"/>
              </w:rPr>
              <w:t>白宸蜚</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审核时间：2021年02月25日 上午至2021年02月25日 下午</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hint="eastAsia"/>
                <w:sz w:val="24"/>
                <w:szCs w:val="24"/>
              </w:rPr>
            </w:pPr>
            <w:r>
              <w:rPr>
                <w:rFonts w:hint="eastAsia"/>
                <w:sz w:val="24"/>
                <w:szCs w:val="24"/>
              </w:rPr>
              <w:t>审核条款：</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pStyle w:val="2"/>
            </w:pPr>
            <w:r>
              <w:rPr>
                <w:rStyle w:val="12"/>
                <w:rFonts w:hint="eastAsia" w:ascii="Arial" w:hAnsi="Arial" w:cs="Arial"/>
                <w:color w:val="333333"/>
              </w:rPr>
              <w:t>智道弘德文化体育发展（北京）有限公司,2019年11月08日成立，营业期限长期，注册资金：500万，企业信用代码：91110105MA01NKJH8M注册地址：北京市朝阳区朝外大街乙6号25层2903，经营范围：</w:t>
            </w:r>
            <w:r>
              <w:rPr>
                <w:rStyle w:val="12"/>
                <w:rFonts w:hint="eastAsia" w:ascii="Arial" w:hAnsi="Arial" w:cs="Arial"/>
                <w:bCs w:val="0"/>
                <w:color w:val="333333"/>
                <w:spacing w:val="0"/>
              </w:rPr>
              <w:t>体育运动经营（高危险性体育运动项目除外）</w:t>
            </w:r>
            <w:r>
              <w:t xml:space="preserve"> </w:t>
            </w:r>
            <w:r>
              <w:rPr>
                <w:rFonts w:hint="eastAsia"/>
              </w:rPr>
              <w:t>，组织体育赛事；体育场馆经营等</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color w:val="000000"/>
                <w:szCs w:val="21"/>
              </w:rPr>
              <w:t>管理部、市场部</w:t>
            </w:r>
          </w:p>
          <w:p>
            <w:pPr>
              <w:spacing w:line="280" w:lineRule="exact"/>
              <w:ind w:firstLine="420" w:firstLineChars="200"/>
            </w:pPr>
            <w:r>
              <w:rPr>
                <w:rFonts w:hint="eastAsia" w:ascii="宋体" w:hAnsi="宋体" w:cs="宋体"/>
                <w:szCs w:val="21"/>
              </w:rPr>
              <w:t>总经理</w:t>
            </w:r>
            <w:r>
              <w:rPr>
                <w:rFonts w:hint="eastAsia"/>
              </w:rPr>
              <w:t>傲乐涵</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sz w:val="20"/>
              </w:rPr>
            </w:pPr>
            <w:r>
              <w:rPr>
                <w:rFonts w:hint="eastAsia"/>
                <w:sz w:val="20"/>
              </w:rPr>
              <w:t>Q：游泳、体育场馆经营（高危性体育运动项目除外）</w:t>
            </w:r>
          </w:p>
          <w:p>
            <w:pPr>
              <w:rPr>
                <w:sz w:val="20"/>
              </w:rPr>
            </w:pPr>
            <w:r>
              <w:rPr>
                <w:rFonts w:hint="eastAsia"/>
                <w:sz w:val="20"/>
              </w:rPr>
              <w:t>E：游泳、体育场馆经营（高危性体育运动项目除外）所涉及场所的相关环境管理活动</w:t>
            </w:r>
          </w:p>
          <w:p>
            <w:pPr>
              <w:rPr>
                <w:rFonts w:ascii="宋体" w:hAnsi="宋体"/>
                <w:szCs w:val="21"/>
              </w:rPr>
            </w:pPr>
            <w:r>
              <w:rPr>
                <w:rFonts w:hint="eastAsia"/>
                <w:sz w:val="20"/>
              </w:rPr>
              <w:t>O：游泳、体育场馆经营（高危性体育运动项目除外）所涉及场所的相关职业健康安全管理活动</w:t>
            </w:r>
          </w:p>
          <w:p>
            <w:pPr>
              <w:rPr>
                <w:rFonts w:hint="eastAsia" w:ascii="宋体" w:hAnsi="宋体"/>
                <w:sz w:val="21"/>
                <w:szCs w:val="21"/>
                <w:lang w:eastAsia="zh-CN"/>
              </w:rPr>
            </w:pPr>
            <w:r>
              <w:rPr>
                <w:rFonts w:hint="eastAsia"/>
                <w:lang w:val="en-US" w:eastAsia="zh-CN"/>
              </w:rPr>
              <w:t>Q8.3不适用 理由：</w:t>
            </w:r>
            <w:r>
              <w:rPr>
                <w:rFonts w:hint="eastAsia" w:ascii="宋体" w:hAnsi="宋体"/>
                <w:sz w:val="21"/>
                <w:szCs w:val="21"/>
                <w:lang w:val="en-US" w:eastAsia="zh-CN"/>
              </w:rPr>
              <w:t>理由：因</w:t>
            </w:r>
            <w:r>
              <w:rPr>
                <w:rFonts w:hint="eastAsia" w:ascii="宋体" w:hAnsi="宋体"/>
                <w:szCs w:val="21"/>
              </w:rPr>
              <w:t>游泳、体育场馆经营（高危性体育运动项目除外）</w:t>
            </w:r>
            <w:r>
              <w:rPr>
                <w:rFonts w:hint="eastAsia" w:ascii="宋体" w:hAnsi="宋体"/>
                <w:sz w:val="21"/>
                <w:szCs w:val="21"/>
                <w:lang w:eastAsia="zh-CN"/>
              </w:rPr>
              <w:t>，</w:t>
            </w:r>
            <w:r>
              <w:rPr>
                <w:rFonts w:hint="eastAsia" w:ascii="宋体" w:hAnsi="宋体"/>
                <w:sz w:val="21"/>
                <w:szCs w:val="21"/>
                <w:lang w:val="en-US" w:eastAsia="zh-CN"/>
              </w:rPr>
              <w:t>按照国家标准及顾客的要求进行，该条款的不适用,</w:t>
            </w:r>
            <w:r>
              <w:rPr>
                <w:rFonts w:hint="eastAsia" w:ascii="宋体" w:hAnsi="宋体"/>
                <w:sz w:val="21"/>
                <w:szCs w:val="21"/>
              </w:rPr>
              <w:t xml:space="preserve">不影响组织确保其产品和服务合格的能力和责任，也不会对增强顾客满意产生影响 </w:t>
            </w:r>
          </w:p>
          <w:p>
            <w:pPr>
              <w:adjustRightInd w:val="0"/>
              <w:spacing w:line="300" w:lineRule="auto"/>
              <w:textAlignment w:val="baseline"/>
              <w:rPr>
                <w:rFonts w:hint="eastAsia"/>
                <w:sz w:val="21"/>
                <w:szCs w:val="21"/>
              </w:rPr>
            </w:pPr>
          </w:p>
          <w:p>
            <w:pPr>
              <w:spacing w:line="360" w:lineRule="auto"/>
              <w:rPr>
                <w:rFonts w:hint="default" w:eastAsia="宋体"/>
                <w:lang w:val="en-US" w:eastAsia="zh-CN"/>
              </w:rPr>
            </w:pPr>
            <w:bookmarkStart w:id="0" w:name="_GoBack"/>
            <w:bookmarkEnd w:id="0"/>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8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auto"/>
              <w:rPr>
                <w:rFonts w:ascii="宋体" w:hAnsi="宋体"/>
                <w:b/>
                <w:bCs/>
              </w:rPr>
            </w:pPr>
            <w:r>
              <w:rPr>
                <w:rFonts w:hint="eastAsia" w:ascii="宋体" w:hAnsi="宋体"/>
                <w:b/>
                <w:bCs/>
              </w:rPr>
              <w:t>顾客至上、强化服务</w:t>
            </w:r>
          </w:p>
          <w:p>
            <w:pPr>
              <w:spacing w:line="360" w:lineRule="auto"/>
              <w:rPr>
                <w:rFonts w:ascii="宋体" w:hAnsi="宋体"/>
                <w:b/>
                <w:bCs/>
              </w:rPr>
            </w:pPr>
            <w:r>
              <w:rPr>
                <w:rFonts w:hint="eastAsia" w:ascii="宋体" w:hAnsi="宋体"/>
                <w:b/>
                <w:bCs/>
              </w:rPr>
              <w:t>以人为本、顾客满意</w:t>
            </w:r>
          </w:p>
          <w:p>
            <w:pPr>
              <w:spacing w:line="360" w:lineRule="auto"/>
              <w:rPr>
                <w:rFonts w:ascii="宋体" w:hAnsi="宋体"/>
                <w:b/>
                <w:bCs/>
              </w:rPr>
            </w:pPr>
            <w:r>
              <w:rPr>
                <w:rFonts w:hint="eastAsia" w:ascii="宋体" w:hAnsi="宋体"/>
                <w:b/>
                <w:bCs/>
              </w:rPr>
              <w:t>节能降耗、安全第一</w:t>
            </w:r>
          </w:p>
          <w:p>
            <w:pPr>
              <w:spacing w:line="280" w:lineRule="exact"/>
              <w:rPr>
                <w:rFonts w:ascii="宋体" w:hAnsi="宋体"/>
                <w:b/>
                <w:bCs/>
              </w:rPr>
            </w:pPr>
            <w:r>
              <w:rPr>
                <w:rFonts w:hint="eastAsia" w:ascii="宋体" w:hAnsi="宋体"/>
                <w:b/>
                <w:bCs/>
              </w:rPr>
              <w:t>珍惜环境、和谐发展</w:t>
            </w:r>
          </w:p>
          <w:p>
            <w:pPr>
              <w:spacing w:line="280" w:lineRule="exact"/>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傲乐涵</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傲乐涵</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pStyle w:val="2"/>
            </w:pPr>
            <w:r>
              <w:rPr>
                <w:rFonts w:hint="eastAsia"/>
              </w:rPr>
              <w:t xml:space="preserve">1、质量目标： </w:t>
            </w:r>
          </w:p>
          <w:p>
            <w:pPr>
              <w:pStyle w:val="2"/>
              <w:ind w:firstLine="345" w:firstLineChars="150"/>
            </w:pPr>
            <w:r>
              <w:rPr>
                <w:rFonts w:hint="eastAsia"/>
              </w:rPr>
              <w:t>服务质量合格率100%</w:t>
            </w:r>
          </w:p>
          <w:p>
            <w:pPr>
              <w:pStyle w:val="2"/>
              <w:ind w:firstLine="345" w:firstLineChars="150"/>
            </w:pPr>
            <w:r>
              <w:rPr>
                <w:rFonts w:hint="eastAsia"/>
              </w:rPr>
              <w:t>顾客满意度≥95分。</w:t>
            </w:r>
          </w:p>
          <w:p>
            <w:pPr>
              <w:pStyle w:val="2"/>
            </w:pPr>
            <w:r>
              <w:rPr>
                <w:rFonts w:hint="eastAsia"/>
              </w:rPr>
              <w:t xml:space="preserve">2、环境、职业健康安全目标： </w:t>
            </w:r>
          </w:p>
          <w:p>
            <w:pPr>
              <w:pStyle w:val="2"/>
              <w:ind w:firstLine="345" w:firstLineChars="150"/>
            </w:pPr>
            <w:r>
              <w:rPr>
                <w:rFonts w:hint="eastAsia"/>
              </w:rPr>
              <w:t>固体废弃物分类处理率100%；</w:t>
            </w:r>
          </w:p>
          <w:p>
            <w:pPr>
              <w:pStyle w:val="2"/>
              <w:ind w:firstLine="345" w:firstLineChars="150"/>
            </w:pPr>
            <w:r>
              <w:rPr>
                <w:rFonts w:hint="eastAsia"/>
              </w:rPr>
              <w:t>环境污染事故发生率0；</w:t>
            </w:r>
          </w:p>
          <w:p>
            <w:pPr>
              <w:pStyle w:val="2"/>
              <w:ind w:firstLine="460" w:firstLineChars="200"/>
            </w:pPr>
            <w:r>
              <w:rPr>
                <w:rFonts w:hint="eastAsia"/>
              </w:rPr>
              <w:t>杜绝各类重伤事故，轻伤事故少于3件/年；</w:t>
            </w:r>
          </w:p>
          <w:p>
            <w:pPr>
              <w:spacing w:line="280" w:lineRule="exact"/>
              <w:ind w:firstLine="420" w:firstLineChars="200"/>
            </w:pPr>
            <w:r>
              <w:rPr>
                <w:rFonts w:hint="eastAsia"/>
              </w:rPr>
              <w:t>杜绝各类火灾事故，火灾事故发生率为0</w:t>
            </w:r>
          </w:p>
          <w:p>
            <w:pPr>
              <w:spacing w:line="280" w:lineRule="exact"/>
              <w:ind w:firstLine="420" w:firstLineChars="200"/>
            </w:pPr>
            <w:r>
              <w:rPr>
                <w:rFonts w:hint="eastAsia"/>
              </w:rPr>
              <w:t>目标可测量，与公司管理方针一致。</w:t>
            </w:r>
          </w:p>
          <w:p>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每半年由行政人事部按公司管理目标考核要求统计考核公司管理目标完成情况，提交管理评审会议。查到今年下半年公司管理目标完成情况，各项目标均已完成，考核人：傲乐涵</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80" w:lineRule="exact"/>
              <w:rPr>
                <w:rFonts w:ascii="宋体" w:hAnsi="宋体" w:cs="宋体"/>
                <w:kern w:val="0"/>
                <w:szCs w:val="21"/>
              </w:rPr>
            </w:pPr>
            <w:r>
              <w:rPr>
                <w:rFonts w:hint="eastAsia" w:cs="宋体"/>
              </w:rPr>
              <w:t>资源、总则</w:t>
            </w:r>
          </w:p>
        </w:tc>
        <w:tc>
          <w:tcPr>
            <w:tcW w:w="1012" w:type="dxa"/>
            <w:vAlign w:val="center"/>
          </w:tcPr>
          <w:p>
            <w:r>
              <w:t>Q7.1.1</w:t>
            </w:r>
          </w:p>
          <w:p>
            <w:pPr>
              <w:spacing w:line="280" w:lineRule="exact"/>
              <w:rPr>
                <w:rFonts w:ascii="宋体" w:hAnsi="宋体" w:cs="宋体"/>
                <w:kern w:val="0"/>
                <w:szCs w:val="21"/>
              </w:rPr>
            </w:pPr>
            <w:r>
              <w:t>ES7.1</w:t>
            </w:r>
          </w:p>
        </w:tc>
        <w:tc>
          <w:tcPr>
            <w:tcW w:w="10642" w:type="dxa"/>
            <w:vAlign w:val="center"/>
          </w:tcPr>
          <w:p>
            <w:r>
              <w:rPr>
                <w:rFonts w:hint="eastAsia" w:cs="宋体"/>
              </w:rPr>
              <w:t>公司为了实施管理体系并持续改进其有效性，增强顾客满意度，提供了各方面的资源保证。</w:t>
            </w:r>
          </w:p>
          <w:p>
            <w:r>
              <w:t xml:space="preserve">a. </w:t>
            </w:r>
            <w:r>
              <w:rPr>
                <w:rFonts w:hint="eastAsia" w:cs="宋体"/>
              </w:rPr>
              <w:t>人力资源：职工队伍相对稳定，管理人员均有在相关企业工作</w:t>
            </w:r>
            <w:r>
              <w:rPr>
                <w:rFonts w:hint="eastAsia"/>
              </w:rPr>
              <w:t>的</w:t>
            </w:r>
            <w:r>
              <w:t>经历</w:t>
            </w:r>
            <w:r>
              <w:rPr>
                <w:rFonts w:hint="eastAsia" w:cs="宋体"/>
              </w:rPr>
              <w:t>，实践经验性对丰富；</w:t>
            </w:r>
          </w:p>
          <w:p>
            <w:pPr>
              <w:jc w:val="left"/>
              <w:rPr>
                <w:rFonts w:ascii="宋体" w:hAnsi="宋体" w:cs="宋体"/>
                <w:color w:val="000000"/>
              </w:rPr>
            </w:pPr>
            <w:r>
              <w:t xml:space="preserve">b. </w:t>
            </w:r>
            <w:r>
              <w:rPr>
                <w:rFonts w:hint="eastAsia" w:cs="宋体"/>
              </w:rPr>
              <w:t>基础设施：</w:t>
            </w:r>
            <w:r>
              <w:rPr>
                <w:rFonts w:hint="eastAsia" w:ascii="宋体" w:hAnsi="宋体" w:cs="宋体"/>
                <w:color w:val="000000"/>
              </w:rPr>
              <w:t>办公、工作场所和相应的相关设施（电话机、传真机、复印机、扫描仪、计算机、打印机）;</w:t>
            </w:r>
          </w:p>
          <w:p>
            <w:r>
              <w:t xml:space="preserve">c. </w:t>
            </w:r>
            <w:r>
              <w:rPr>
                <w:rFonts w:hint="eastAsia" w:cs="宋体"/>
              </w:rPr>
              <w:t>工作环境：</w:t>
            </w:r>
            <w:r>
              <w:rPr>
                <w:rFonts w:hint="eastAsia" w:ascii="宋体" w:hAnsi="宋体" w:cs="宋体"/>
                <w:color w:val="000000"/>
              </w:rPr>
              <w:t>公司为服务全过程提供符合要求的办公工作环境和销售工作环境，保证服务质量并预防环境污染和职工受伤害，保工作环境符合要求</w:t>
            </w:r>
            <w:r>
              <w:rPr>
                <w:rFonts w:hint="eastAsia"/>
              </w:rPr>
              <w:t>。</w:t>
            </w:r>
          </w:p>
          <w:p>
            <w:pPr>
              <w:rPr>
                <w:rFonts w:cs="宋体"/>
              </w:rPr>
            </w:pPr>
            <w:r>
              <w:t xml:space="preserve">d. </w:t>
            </w:r>
            <w:r>
              <w:rPr>
                <w:rFonts w:hint="eastAsia" w:cs="宋体"/>
              </w:rPr>
              <w:t>资金支持：注册资金</w:t>
            </w:r>
            <w:r>
              <w:rPr>
                <w:rFonts w:hint="eastAsia"/>
              </w:rPr>
              <w:t>500多</w:t>
            </w:r>
            <w:r>
              <w:rPr>
                <w:rFonts w:hint="eastAsia" w:cs="宋体"/>
              </w:rPr>
              <w:t>万元。</w:t>
            </w:r>
          </w:p>
          <w:p>
            <w:pPr>
              <w:spacing w:line="280" w:lineRule="exact"/>
              <w:ind w:firstLine="210" w:firstLineChars="100"/>
            </w:pPr>
            <w:r>
              <w:rPr>
                <w:rFonts w:hint="eastAsia"/>
              </w:rPr>
              <w:t>以上资源</w:t>
            </w:r>
            <w:r>
              <w:rPr>
                <w:rFonts w:hint="eastAsia" w:cs="宋体"/>
              </w:rPr>
              <w:t>能够满足企业的经营需要，符合管理体系要求。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020年12月28日</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马春莲   </w:t>
            </w:r>
            <w:r>
              <w:rPr>
                <w:rFonts w:hint="eastAsia" w:ascii="宋体" w:hAnsi="宋体" w:cs="宋体"/>
                <w:szCs w:val="21"/>
              </w:rPr>
              <w:t xml:space="preserve">     审批：</w:t>
            </w:r>
            <w:r>
              <w:rPr>
                <w:rFonts w:hint="eastAsia"/>
              </w:rPr>
              <w:t>傲乐涵</w:t>
            </w:r>
            <w:r>
              <w:rPr>
                <w:rFonts w:hint="eastAsia" w:ascii="宋体" w:hAnsi="宋体" w:cs="宋体"/>
                <w:szCs w:val="21"/>
              </w:rPr>
              <w:t xml:space="preserve">   编制日期：</w:t>
            </w:r>
            <w:r>
              <w:rPr>
                <w:rFonts w:ascii="宋体" w:hAnsi="宋体" w:cs="宋体"/>
                <w:szCs w:val="21"/>
              </w:rPr>
              <w:t>2020.12.22</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1)公司内外部环境、相关方的需求和期望、应对风险和机遇的措施及评价；</w:t>
            </w:r>
          </w:p>
          <w:p>
            <w:pPr>
              <w:ind w:left="28"/>
              <w:rPr>
                <w:rFonts w:ascii="宋体" w:hAnsi="宋体"/>
                <w:szCs w:val="21"/>
              </w:rPr>
            </w:pPr>
            <w:r>
              <w:rPr>
                <w:rFonts w:hint="eastAsia" w:ascii="宋体" w:hAnsi="宋体"/>
                <w:szCs w:val="21"/>
              </w:rPr>
              <w:t>2）内部审核结果分析报告</w:t>
            </w:r>
          </w:p>
          <w:p>
            <w:pPr>
              <w:ind w:left="28"/>
              <w:rPr>
                <w:rFonts w:ascii="宋体" w:hAnsi="宋体"/>
                <w:szCs w:val="21"/>
              </w:rPr>
            </w:pPr>
            <w:r>
              <w:rPr>
                <w:rFonts w:hint="eastAsia" w:ascii="宋体" w:hAnsi="宋体"/>
                <w:szCs w:val="21"/>
              </w:rPr>
              <w:t>3）目标完成情况及质量、环境、健安绩效报告</w:t>
            </w:r>
          </w:p>
          <w:p>
            <w:pPr>
              <w:ind w:left="28"/>
              <w:rPr>
                <w:rFonts w:ascii="宋体" w:hAnsi="宋体"/>
                <w:szCs w:val="21"/>
              </w:rPr>
            </w:pPr>
            <w:r>
              <w:rPr>
                <w:rFonts w:hint="eastAsia" w:ascii="宋体" w:hAnsi="宋体"/>
                <w:szCs w:val="21"/>
              </w:rPr>
              <w:t>4）纠正措施、预防措施效果分析报告</w:t>
            </w:r>
          </w:p>
          <w:p>
            <w:pPr>
              <w:ind w:left="28"/>
              <w:rPr>
                <w:rFonts w:ascii="宋体" w:hAnsi="宋体"/>
                <w:szCs w:val="21"/>
              </w:rPr>
            </w:pPr>
            <w:r>
              <w:rPr>
                <w:rFonts w:hint="eastAsia" w:ascii="宋体" w:hAnsi="宋体"/>
                <w:szCs w:val="21"/>
              </w:rPr>
              <w:t>5）管理方针、目标适宜性分析报告</w:t>
            </w:r>
          </w:p>
          <w:p>
            <w:pPr>
              <w:ind w:left="28"/>
              <w:rPr>
                <w:rFonts w:ascii="宋体" w:hAnsi="宋体"/>
                <w:szCs w:val="21"/>
              </w:rPr>
            </w:pPr>
            <w:r>
              <w:rPr>
                <w:rFonts w:hint="eastAsia" w:ascii="宋体" w:hAnsi="宋体"/>
                <w:szCs w:val="21"/>
              </w:rPr>
              <w:t>6）法律法规和其他要求遵循情况分析报告</w:t>
            </w:r>
          </w:p>
          <w:p>
            <w:pPr>
              <w:ind w:left="28"/>
              <w:rPr>
                <w:rFonts w:ascii="宋体" w:hAnsi="宋体"/>
                <w:szCs w:val="21"/>
              </w:rPr>
            </w:pPr>
            <w:r>
              <w:rPr>
                <w:rFonts w:hint="eastAsia" w:ascii="宋体" w:hAnsi="宋体"/>
                <w:szCs w:val="21"/>
              </w:rPr>
              <w:t>7）关于如何提高公司管理体系运行质量和效率的建议</w:t>
            </w:r>
          </w:p>
          <w:p>
            <w:pPr>
              <w:ind w:left="28"/>
              <w:rPr>
                <w:rFonts w:ascii="宋体" w:hAnsi="宋体"/>
                <w:szCs w:val="21"/>
              </w:rPr>
            </w:pPr>
            <w:r>
              <w:rPr>
                <w:rFonts w:hint="eastAsia" w:ascii="宋体" w:hAnsi="宋体"/>
                <w:szCs w:val="21"/>
              </w:rPr>
              <w:t>8）顾客反馈及满意度调查情况，相关方环境、健安信息沟通情况</w:t>
            </w:r>
          </w:p>
          <w:p>
            <w:pPr>
              <w:ind w:left="28"/>
              <w:rPr>
                <w:rFonts w:ascii="宋体" w:hAnsi="宋体"/>
                <w:szCs w:val="21"/>
              </w:rPr>
            </w:pPr>
            <w:r>
              <w:rPr>
                <w:rFonts w:hint="eastAsia" w:ascii="宋体" w:hAnsi="宋体"/>
                <w:szCs w:val="21"/>
              </w:rPr>
              <w:t>9）过程绩效及产品符合性总结，健安管理参与协商结果。</w:t>
            </w:r>
          </w:p>
          <w:p>
            <w:pPr>
              <w:ind w:left="28"/>
              <w:rPr>
                <w:rFonts w:ascii="宋体" w:hAnsi="宋体"/>
                <w:szCs w:val="21"/>
              </w:rPr>
            </w:pPr>
            <w:r>
              <w:rPr>
                <w:rFonts w:hint="eastAsia" w:ascii="宋体" w:hAnsi="宋体"/>
                <w:szCs w:val="21"/>
              </w:rPr>
              <w:t>10）影响体系变更情况提出了自体系运行以来取得的成绩和存在的不足；</w:t>
            </w:r>
          </w:p>
          <w:p>
            <w:pPr>
              <w:ind w:left="28"/>
              <w:rPr>
                <w:rFonts w:ascii="宋体" w:hAnsi="宋体"/>
                <w:szCs w:val="21"/>
              </w:rPr>
            </w:pPr>
            <w:r>
              <w:rPr>
                <w:rFonts w:hint="eastAsia" w:ascii="宋体" w:hAnsi="宋体"/>
                <w:szCs w:val="21"/>
              </w:rPr>
              <w:t>11）与管理体系相关的内外部环境因素的变化</w:t>
            </w:r>
          </w:p>
          <w:p>
            <w:pPr>
              <w:spacing w:line="280" w:lineRule="exact"/>
              <w:rPr>
                <w:rFonts w:ascii="宋体" w:hAnsi="宋体"/>
                <w:szCs w:val="21"/>
              </w:rPr>
            </w:pPr>
            <w:r>
              <w:rPr>
                <w:rFonts w:hint="eastAsia" w:ascii="宋体" w:hAnsi="宋体"/>
                <w:szCs w:val="21"/>
              </w:rPr>
              <w:t>12）公司所面临的风险和机遇采取措施的有效性</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pStyle w:val="2"/>
            </w:pPr>
            <w:r>
              <w:rPr>
                <w:rFonts w:hint="eastAsia"/>
              </w:rPr>
              <w:t>1、加强新版标准文件学习</w:t>
            </w:r>
          </w:p>
          <w:p>
            <w:pPr>
              <w:pStyle w:val="2"/>
            </w:pPr>
            <w:r>
              <w:rPr>
                <w:rFonts w:hint="eastAsia"/>
              </w:rPr>
              <w:t>2、对项目部服务过程强化服务意识和规范，加强对过程检查，对不合格输出采取有效的纠正或纠正措施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投诉或事故/政府主管部门监督抽查情况</w:t>
            </w:r>
          </w:p>
        </w:tc>
        <w:tc>
          <w:tcPr>
            <w:tcW w:w="1012" w:type="dxa"/>
          </w:tcPr>
          <w:p>
            <w:pPr>
              <w:spacing w:line="280" w:lineRule="exact"/>
            </w:pPr>
          </w:p>
        </w:tc>
        <w:tc>
          <w:tcPr>
            <w:tcW w:w="10642" w:type="dxa"/>
            <w:vAlign w:val="center"/>
          </w:tcPr>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left" w:pos="7380"/>
              </w:tabs>
              <w:rPr>
                <w:rFonts w:ascii="宋体" w:hAnsi="宋体" w:cs="Tahoma"/>
                <w:szCs w:val="21"/>
              </w:rPr>
            </w:pPr>
            <w:r>
              <w:rPr>
                <w:rFonts w:hint="eastAsia" w:ascii="宋体" w:hAnsi="宋体" w:cs="Tahoma"/>
                <w:szCs w:val="21"/>
              </w:rPr>
              <w:t>是否具备二阶段审核结论</w:t>
            </w:r>
          </w:p>
          <w:p>
            <w:pPr>
              <w:spacing w:line="280" w:lineRule="exact"/>
              <w:rPr>
                <w:rFonts w:ascii="宋体" w:hAnsi="宋体" w:cs="宋体"/>
                <w:szCs w:val="21"/>
              </w:rPr>
            </w:pPr>
          </w:p>
        </w:tc>
        <w:tc>
          <w:tcPr>
            <w:tcW w:w="1012" w:type="dxa"/>
          </w:tcPr>
          <w:p>
            <w:pPr>
              <w:spacing w:line="280" w:lineRule="exact"/>
              <w:rPr>
                <w:szCs w:val="21"/>
              </w:rPr>
            </w:pPr>
          </w:p>
        </w:tc>
        <w:tc>
          <w:tcPr>
            <w:tcW w:w="10642" w:type="dxa"/>
          </w:tcPr>
          <w:p>
            <w:pPr>
              <w:tabs>
                <w:tab w:val="left" w:pos="7380"/>
              </w:tabs>
              <w:rPr>
                <w:rFonts w:ascii="宋体" w:hAnsi="宋体" w:cs="Tahoma"/>
                <w:szCs w:val="21"/>
              </w:rPr>
            </w:pPr>
            <w:r>
              <w:rPr>
                <w:rFonts w:hint="eastAsia" w:ascii="宋体" w:hAnsi="宋体" w:cs="Tahoma"/>
                <w:szCs w:val="21"/>
              </w:rPr>
              <w:t>通过一阶段对受审核方的管理、服务及巡视和观察，对管理体系绩效要求有重大影响的过程、活动、场所和现场运行进行观察、巡视及总体性评价，组织具备二阶段审核条件，可进行二阶段审核。</w:t>
            </w:r>
          </w:p>
          <w:p>
            <w:pPr>
              <w:tabs>
                <w:tab w:val="left" w:pos="7380"/>
              </w:tabs>
              <w:rPr>
                <w:rFonts w:ascii="宋体" w:hAnsi="宋体" w:cs="Tahoma"/>
                <w:szCs w:val="21"/>
              </w:rPr>
            </w:pPr>
          </w:p>
          <w:p>
            <w:pPr>
              <w:spacing w:line="280" w:lineRule="exact"/>
              <w:rPr>
                <w:rFonts w:ascii="宋体" w:hAnsi="宋体" w:cs="宋体"/>
                <w:szCs w:val="21"/>
              </w:rPr>
            </w:pPr>
            <w:r>
              <w:rPr>
                <w:rFonts w:hint="eastAsia" w:ascii="宋体" w:hAnsi="宋体" w:cs="Tahoma"/>
                <w:szCs w:val="21"/>
              </w:rPr>
              <w:t xml:space="preserve">审核时间：2021年02月26日 下午至2021年02月28日 下午  </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12BC"/>
    <w:rsid w:val="000600CD"/>
    <w:rsid w:val="00084046"/>
    <w:rsid w:val="000B52CC"/>
    <w:rsid w:val="000E517E"/>
    <w:rsid w:val="000E6BC4"/>
    <w:rsid w:val="00133C46"/>
    <w:rsid w:val="001623A3"/>
    <w:rsid w:val="00181784"/>
    <w:rsid w:val="001946AD"/>
    <w:rsid w:val="001A2D7F"/>
    <w:rsid w:val="001E3ABF"/>
    <w:rsid w:val="00212CF8"/>
    <w:rsid w:val="00242EB9"/>
    <w:rsid w:val="00256CE5"/>
    <w:rsid w:val="00294095"/>
    <w:rsid w:val="002B02B5"/>
    <w:rsid w:val="00310FE4"/>
    <w:rsid w:val="00313FDB"/>
    <w:rsid w:val="00324C2F"/>
    <w:rsid w:val="00337922"/>
    <w:rsid w:val="00340867"/>
    <w:rsid w:val="003437B4"/>
    <w:rsid w:val="003578EE"/>
    <w:rsid w:val="00380837"/>
    <w:rsid w:val="003A198A"/>
    <w:rsid w:val="003D4ACE"/>
    <w:rsid w:val="00410914"/>
    <w:rsid w:val="004471FA"/>
    <w:rsid w:val="0046225F"/>
    <w:rsid w:val="00536930"/>
    <w:rsid w:val="00555927"/>
    <w:rsid w:val="00564E53"/>
    <w:rsid w:val="005B4A17"/>
    <w:rsid w:val="00644FE2"/>
    <w:rsid w:val="0067640C"/>
    <w:rsid w:val="006E41CD"/>
    <w:rsid w:val="006E678B"/>
    <w:rsid w:val="00715D4F"/>
    <w:rsid w:val="0072782F"/>
    <w:rsid w:val="0077100B"/>
    <w:rsid w:val="007757F3"/>
    <w:rsid w:val="0078394C"/>
    <w:rsid w:val="0079159C"/>
    <w:rsid w:val="007E6AEB"/>
    <w:rsid w:val="00805C85"/>
    <w:rsid w:val="00896F40"/>
    <w:rsid w:val="008973EE"/>
    <w:rsid w:val="00927461"/>
    <w:rsid w:val="00971600"/>
    <w:rsid w:val="00981FC4"/>
    <w:rsid w:val="009973B4"/>
    <w:rsid w:val="009C28C1"/>
    <w:rsid w:val="009D526F"/>
    <w:rsid w:val="009F7EED"/>
    <w:rsid w:val="00A56087"/>
    <w:rsid w:val="00A97FD1"/>
    <w:rsid w:val="00AB4BF7"/>
    <w:rsid w:val="00AB6129"/>
    <w:rsid w:val="00AE4D9D"/>
    <w:rsid w:val="00AF0AAB"/>
    <w:rsid w:val="00B160F8"/>
    <w:rsid w:val="00B465F4"/>
    <w:rsid w:val="00BC0CAD"/>
    <w:rsid w:val="00BD0A6B"/>
    <w:rsid w:val="00BF597E"/>
    <w:rsid w:val="00C419E5"/>
    <w:rsid w:val="00C46541"/>
    <w:rsid w:val="00C51A36"/>
    <w:rsid w:val="00C55228"/>
    <w:rsid w:val="00CE315A"/>
    <w:rsid w:val="00D06F59"/>
    <w:rsid w:val="00D8388C"/>
    <w:rsid w:val="00EB0164"/>
    <w:rsid w:val="00EB3F6F"/>
    <w:rsid w:val="00ED0F62"/>
    <w:rsid w:val="00F146E5"/>
    <w:rsid w:val="00F32E11"/>
    <w:rsid w:val="00F9321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7B02AFE"/>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qFormat/>
    <w:uiPriority w:val="0"/>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F7435-30E4-4B9D-81E9-F2195FF46435}">
  <ds:schemaRefs/>
</ds:datastoreItem>
</file>

<file path=docProps/app.xml><?xml version="1.0" encoding="utf-8"?>
<Properties xmlns="http://schemas.openxmlformats.org/officeDocument/2006/extended-properties" xmlns:vt="http://schemas.openxmlformats.org/officeDocument/2006/docPropsVTypes">
  <Template>Normal</Template>
  <Pages>5</Pages>
  <Words>530</Words>
  <Characters>3025</Characters>
  <Lines>25</Lines>
  <Paragraphs>7</Paragraphs>
  <TotalTime>1</TotalTime>
  <ScaleCrop>false</ScaleCrop>
  <LinksUpToDate>false</LinksUpToDate>
  <CharactersWithSpaces>3548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2021-02-28T12:37:02Z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