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0116-2021-E</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b w:val="0"/>
          <w:bCs/>
          <w:color w:val="000000" w:themeColor="text1"/>
          <w:sz w:val="22"/>
          <w:szCs w:val="22"/>
        </w:rPr>
      </w:pPr>
      <w:r>
        <w:rPr>
          <w:rFonts w:hint="eastAsia"/>
          <w:b w:val="0"/>
          <w:bCs/>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组织名称 (中文)：</w:t>
      </w:r>
      <w:bookmarkStart w:id="1" w:name="组织名称"/>
      <w:r>
        <w:rPr>
          <w:b w:val="0"/>
          <w:bCs/>
          <w:color w:val="000000" w:themeColor="text1"/>
          <w:sz w:val="22"/>
          <w:szCs w:val="22"/>
          <w:u w:val="single"/>
        </w:rPr>
        <w:t>任丘市红河邮电器材有限公司</w:t>
      </w:r>
      <w:bookmarkEnd w:id="1"/>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bookmarkStart w:id="2" w:name="组织名称英"/>
      <w:bookmarkEnd w:id="2"/>
      <w:r>
        <w:rPr>
          <w:rFonts w:hint="eastAsia"/>
          <w:b w:val="0"/>
          <w:bCs/>
          <w:color w:val="000000" w:themeColor="text1"/>
          <w:sz w:val="22"/>
          <w:szCs w:val="22"/>
        </w:rPr>
        <w:t>Renqiu Honghe post and telecommunication equipment Co., Ltd</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组织注册地址(中文)：</w:t>
      </w:r>
      <w:bookmarkStart w:id="3" w:name="注册地址"/>
      <w:r>
        <w:rPr>
          <w:rFonts w:hint="eastAsia"/>
          <w:b w:val="0"/>
          <w:bCs/>
          <w:color w:val="000000" w:themeColor="text1"/>
          <w:sz w:val="22"/>
          <w:szCs w:val="22"/>
        </w:rPr>
        <w:t>任丘市麻家坞镇麻家坞工业区</w:t>
      </w:r>
      <w:bookmarkEnd w:id="3"/>
      <w:r>
        <w:rPr>
          <w:rFonts w:hint="eastAsia"/>
          <w:b w:val="0"/>
          <w:bCs/>
          <w:color w:val="000000" w:themeColor="text1"/>
          <w:sz w:val="22"/>
          <w:szCs w:val="22"/>
          <w:lang w:eastAsia="zh-CN"/>
        </w:rPr>
        <w:t>，</w:t>
      </w:r>
      <w:r>
        <w:rPr>
          <w:rFonts w:hint="eastAsia"/>
          <w:b w:val="0"/>
          <w:bCs/>
          <w:color w:val="000000" w:themeColor="text1"/>
          <w:sz w:val="22"/>
          <w:szCs w:val="22"/>
        </w:rPr>
        <w:t>邮编</w:t>
      </w:r>
      <w:r>
        <w:rPr>
          <w:rFonts w:hint="eastAsia" w:ascii="宋体" w:hAnsi="宋体"/>
          <w:b w:val="0"/>
          <w:bCs/>
          <w:color w:val="000000" w:themeColor="text1"/>
          <w:sz w:val="22"/>
          <w:szCs w:val="22"/>
        </w:rPr>
        <w:t xml:space="preserve">: </w:t>
      </w:r>
      <w:bookmarkStart w:id="4" w:name="注册邮编"/>
      <w:r>
        <w:rPr>
          <w:b w:val="0"/>
          <w:bCs/>
          <w:color w:val="000000" w:themeColor="text1"/>
          <w:sz w:val="22"/>
          <w:szCs w:val="22"/>
          <w:u w:val="single"/>
        </w:rPr>
        <w:t>062554</w:t>
      </w:r>
      <w:bookmarkEnd w:id="4"/>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(英文)：Majiawu Industrial Zone, Majiawu Town, Renqiu City</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pacing w:val="-2"/>
          <w:sz w:val="22"/>
          <w:szCs w:val="22"/>
          <w:lang w:eastAsia="zh-CN"/>
        </w:rPr>
        <w:t>☑</w:t>
      </w:r>
      <w:r>
        <w:rPr>
          <w:rFonts w:hint="eastAsia"/>
          <w:b w:val="0"/>
          <w:bCs/>
          <w:color w:val="000000" w:themeColor="text1"/>
          <w:sz w:val="22"/>
          <w:szCs w:val="22"/>
        </w:rPr>
        <w:t>组织经营地址(中文)：</w:t>
      </w:r>
      <w:bookmarkStart w:id="5" w:name="生产地址"/>
      <w:r>
        <w:rPr>
          <w:rFonts w:hint="eastAsia"/>
          <w:b w:val="0"/>
          <w:bCs/>
          <w:color w:val="000000" w:themeColor="text1"/>
          <w:sz w:val="22"/>
          <w:szCs w:val="22"/>
        </w:rPr>
        <w:t>任丘市麻家坞镇麻家坞工业区</w:t>
      </w:r>
      <w:bookmarkEnd w:id="5"/>
      <w:r>
        <w:rPr>
          <w:rFonts w:hint="eastAsia"/>
          <w:b w:val="0"/>
          <w:bCs/>
          <w:color w:val="000000" w:themeColor="text1"/>
          <w:sz w:val="22"/>
          <w:szCs w:val="22"/>
          <w:lang w:eastAsia="zh-CN"/>
        </w:rPr>
        <w:t>，</w:t>
      </w:r>
      <w:r>
        <w:rPr>
          <w:rFonts w:hint="eastAsia"/>
          <w:b w:val="0"/>
          <w:bCs/>
          <w:color w:val="000000" w:themeColor="text1"/>
          <w:sz w:val="22"/>
          <w:szCs w:val="22"/>
        </w:rPr>
        <w:t>邮编</w:t>
      </w:r>
      <w:r>
        <w:rPr>
          <w:rFonts w:hint="eastAsia" w:ascii="宋体" w:hAnsi="宋体"/>
          <w:b w:val="0"/>
          <w:bCs/>
          <w:color w:val="000000" w:themeColor="text1"/>
          <w:sz w:val="22"/>
          <w:szCs w:val="22"/>
        </w:rPr>
        <w:t>:</w:t>
      </w:r>
      <w:bookmarkStart w:id="6" w:name="生产邮编"/>
      <w:r>
        <w:rPr>
          <w:b w:val="0"/>
          <w:bCs/>
          <w:color w:val="000000" w:themeColor="text1"/>
          <w:sz w:val="22"/>
          <w:szCs w:val="22"/>
        </w:rPr>
        <w:t>062554</w:t>
      </w:r>
      <w:bookmarkEnd w:id="6"/>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(英文)：Majiawu Industrial Zone, Majiawu Town, Renqiu City</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组织机构代码证号（社会信用号）：</w:t>
      </w:r>
      <w:bookmarkStart w:id="7" w:name="机构代码"/>
      <w:r>
        <w:rPr>
          <w:rFonts w:hint="eastAsia"/>
          <w:b w:val="0"/>
          <w:bCs/>
          <w:color w:val="000000" w:themeColor="text1"/>
          <w:sz w:val="22"/>
          <w:szCs w:val="22"/>
        </w:rPr>
        <w:t>91130982748499032H</w:t>
      </w:r>
      <w:bookmarkEnd w:id="7"/>
      <w:r>
        <w:rPr>
          <w:rFonts w:hint="eastAsia"/>
          <w:b w:val="0"/>
          <w:bCs/>
          <w:color w:val="000000" w:themeColor="text1"/>
          <w:sz w:val="22"/>
          <w:szCs w:val="22"/>
          <w:lang w:eastAsia="zh-CN"/>
        </w:rPr>
        <w:t>，</w:t>
      </w:r>
      <w:r>
        <w:rPr>
          <w:rFonts w:hint="eastAsia"/>
          <w:b w:val="0"/>
          <w:bCs/>
          <w:color w:val="000000" w:themeColor="text1"/>
          <w:sz w:val="22"/>
          <w:szCs w:val="22"/>
        </w:rPr>
        <w:t>传真：</w:t>
      </w:r>
      <w:bookmarkStart w:id="8" w:name="联系人传真"/>
      <w:bookmarkEnd w:id="8"/>
      <w:r>
        <w:rPr>
          <w:rFonts w:hint="eastAsia"/>
          <w:b w:val="0"/>
          <w:bCs/>
          <w:color w:val="000000" w:themeColor="text1"/>
          <w:sz w:val="22"/>
          <w:szCs w:val="22"/>
        </w:rPr>
        <w:t>电话</w:t>
      </w:r>
      <w:r>
        <w:rPr>
          <w:rFonts w:hint="eastAsia"/>
          <w:b w:val="0"/>
          <w:bCs/>
          <w:color w:val="000000" w:themeColor="text1"/>
          <w:sz w:val="14"/>
          <w:szCs w:val="14"/>
        </w:rPr>
        <w:t>.</w:t>
      </w:r>
      <w:r>
        <w:rPr>
          <w:rFonts w:hint="eastAsia"/>
          <w:b w:val="0"/>
          <w:bCs/>
          <w:color w:val="000000" w:themeColor="text1"/>
          <w:sz w:val="22"/>
          <w:szCs w:val="22"/>
        </w:rPr>
        <w:t>：</w:t>
      </w:r>
      <w:bookmarkStart w:id="9" w:name="联系人电话"/>
      <w:r>
        <w:rPr>
          <w:b w:val="0"/>
          <w:bCs/>
          <w:color w:val="000000" w:themeColor="text1"/>
          <w:sz w:val="22"/>
          <w:szCs w:val="22"/>
          <w:u w:val="single"/>
        </w:rPr>
        <w:t>13333270991</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400" w:lineRule="exact"/>
        <w:ind w:firstLine="0"/>
        <w:textAlignment w:val="auto"/>
        <w:rPr>
          <w:b w:val="0"/>
          <w:bCs/>
          <w:color w:val="000000" w:themeColor="text1"/>
          <w:sz w:val="22"/>
          <w:szCs w:val="22"/>
        </w:rPr>
      </w:pPr>
      <w:r>
        <w:rPr>
          <w:rFonts w:hint="eastAsia"/>
          <w:b w:val="0"/>
          <w:bCs/>
          <w:color w:val="000000" w:themeColor="text1"/>
          <w:sz w:val="22"/>
          <w:szCs w:val="22"/>
        </w:rPr>
        <w:t>法人代表：</w:t>
      </w:r>
      <w:bookmarkStart w:id="10" w:name="法人"/>
      <w:r>
        <w:rPr>
          <w:rFonts w:hint="eastAsia"/>
          <w:b w:val="0"/>
          <w:bCs/>
          <w:color w:val="000000" w:themeColor="text1"/>
          <w:sz w:val="22"/>
          <w:szCs w:val="22"/>
        </w:rPr>
        <w:t>郭宁波</w:t>
      </w:r>
      <w:bookmarkEnd w:id="10"/>
      <w:r>
        <w:rPr>
          <w:rFonts w:hint="eastAsia"/>
          <w:b w:val="0"/>
          <w:bCs/>
          <w:color w:val="000000" w:themeColor="text1"/>
          <w:sz w:val="22"/>
          <w:szCs w:val="22"/>
          <w:lang w:eastAsia="zh-CN"/>
        </w:rPr>
        <w:t>，</w:t>
      </w:r>
      <w:r>
        <w:rPr>
          <w:rFonts w:hint="eastAsia"/>
          <w:b w:val="0"/>
          <w:bCs/>
          <w:color w:val="000000" w:themeColor="text1"/>
          <w:sz w:val="22"/>
          <w:szCs w:val="22"/>
        </w:rPr>
        <w:t>管代/联系人(职务)：</w:t>
      </w:r>
      <w:bookmarkStart w:id="11" w:name="管理者代表"/>
      <w:r>
        <w:rPr>
          <w:rFonts w:hint="eastAsia"/>
          <w:b w:val="0"/>
          <w:bCs/>
          <w:color w:val="000000" w:themeColor="text1"/>
          <w:sz w:val="22"/>
          <w:szCs w:val="22"/>
        </w:rPr>
        <w:t>马秋花</w:t>
      </w:r>
      <w:bookmarkEnd w:id="11"/>
      <w:r>
        <w:rPr>
          <w:rFonts w:hint="eastAsia"/>
          <w:b w:val="0"/>
          <w:bCs/>
          <w:color w:val="000000" w:themeColor="text1"/>
          <w:sz w:val="22"/>
          <w:szCs w:val="22"/>
          <w:lang w:eastAsia="zh-CN"/>
        </w:rPr>
        <w:t>，</w:t>
      </w:r>
      <w:r>
        <w:rPr>
          <w:rFonts w:hint="eastAsia"/>
          <w:b w:val="0"/>
          <w:bCs/>
          <w:color w:val="000000" w:themeColor="text1"/>
          <w:sz w:val="22"/>
          <w:szCs w:val="22"/>
        </w:rPr>
        <w:t>组织人数：</w:t>
      </w:r>
      <w:bookmarkStart w:id="12" w:name="企业人数"/>
      <w:r>
        <w:rPr>
          <w:b w:val="0"/>
          <w:bCs/>
          <w:color w:val="000000" w:themeColor="text1"/>
          <w:sz w:val="22"/>
          <w:szCs w:val="22"/>
        </w:rPr>
        <w:t>25</w:t>
      </w:r>
      <w:bookmarkEnd w:id="12"/>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ascii="宋体" w:hAnsi="宋体"/>
          <w:b w:val="0"/>
          <w:bCs/>
          <w:color w:val="000000" w:themeColor="text1"/>
          <w:sz w:val="22"/>
          <w:szCs w:val="22"/>
          <w:u w:val="single"/>
        </w:rPr>
      </w:pPr>
      <w:r>
        <w:rPr>
          <w:rFonts w:hint="eastAsia"/>
          <w:b w:val="0"/>
          <w:bCs/>
          <w:color w:val="000000" w:themeColor="text1"/>
          <w:sz w:val="22"/>
          <w:szCs w:val="22"/>
        </w:rPr>
        <w:t>认证标准：</w:t>
      </w:r>
      <w:bookmarkStart w:id="13" w:name="审核依据"/>
      <w:r>
        <w:rPr>
          <w:rFonts w:hint="eastAsia" w:ascii="宋体" w:hAnsi="宋体"/>
          <w:b w:val="0"/>
          <w:bCs/>
          <w:color w:val="000000" w:themeColor="text1"/>
          <w:sz w:val="22"/>
          <w:szCs w:val="22"/>
          <w:u w:val="single"/>
        </w:rPr>
        <w:t>GB/T 24001-2016/ISO14001:2015</w:t>
      </w:r>
      <w:bookmarkEnd w:id="13"/>
      <w:r>
        <w:rPr>
          <w:rFonts w:hint="eastAsia" w:ascii="宋体" w:hAnsi="宋体"/>
          <w:b w:val="0"/>
          <w:bCs/>
          <w:color w:val="000000" w:themeColor="text1"/>
          <w:sz w:val="22"/>
          <w:szCs w:val="22"/>
          <w:u w:val="single"/>
          <w:lang w:eastAsia="zh-CN"/>
        </w:rPr>
        <w:t>，</w:t>
      </w:r>
      <w:r>
        <w:rPr>
          <w:rFonts w:hint="eastAsia"/>
          <w:b w:val="0"/>
          <w:bCs/>
          <w:color w:val="000000" w:themeColor="text1"/>
          <w:spacing w:val="-2"/>
          <w:sz w:val="22"/>
          <w:szCs w:val="22"/>
        </w:rPr>
        <w:t>认证类型：</w:t>
      </w:r>
      <w:bookmarkStart w:id="14" w:name="审核类型"/>
      <w:r>
        <w:rPr>
          <w:rFonts w:hint="eastAsia"/>
          <w:b w:val="0"/>
          <w:bCs/>
          <w:color w:val="000000" w:themeColor="text1"/>
          <w:spacing w:val="-2"/>
          <w:sz w:val="22"/>
          <w:szCs w:val="22"/>
        </w:rPr>
        <w:t>二阶段</w:t>
      </w:r>
      <w:bookmarkEnd w:id="14"/>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val="0"/>
          <w:bCs/>
          <w:color w:val="000000" w:themeColor="text1"/>
          <w:sz w:val="22"/>
          <w:szCs w:val="22"/>
          <w:lang w:val="en-US" w:eastAsia="zh-CN"/>
        </w:rPr>
      </w:pPr>
      <w:bookmarkStart w:id="15" w:name="审核范围"/>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val="0"/>
          <w:bCs/>
          <w:color w:val="000000" w:themeColor="text1"/>
          <w:sz w:val="22"/>
          <w:szCs w:val="22"/>
        </w:rPr>
      </w:pPr>
      <w:r>
        <w:rPr>
          <w:rFonts w:hint="eastAsia"/>
          <w:b w:val="0"/>
          <w:bCs/>
          <w:color w:val="000000" w:themeColor="text1"/>
          <w:sz w:val="22"/>
          <w:szCs w:val="22"/>
          <w:lang w:val="en-US" w:eastAsia="zh-CN"/>
        </w:rPr>
        <w:t>范围：</w:t>
      </w:r>
      <w:r>
        <w:rPr>
          <w:rFonts w:hint="eastAsia"/>
          <w:b w:val="0"/>
          <w:bCs/>
          <w:color w:val="000000" w:themeColor="text1"/>
          <w:sz w:val="22"/>
          <w:szCs w:val="22"/>
        </w:rPr>
        <w:t>线路铁件、钢绞线、机箱机柜的生产所涉及场所的相关环境管理活动</w:t>
      </w:r>
      <w:bookmarkEnd w:id="15"/>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lang w:eastAsia="zh-CN"/>
        </w:rPr>
        <w:t>☑</w:t>
      </w:r>
      <w:r>
        <w:rPr>
          <w:rFonts w:hint="eastAsia"/>
          <w:b w:val="0"/>
          <w:bCs/>
          <w:color w:val="000000" w:themeColor="text1"/>
          <w:sz w:val="22"/>
          <w:szCs w:val="22"/>
        </w:rPr>
        <w:t>EMS（英文）：</w:t>
      </w:r>
      <w:r>
        <w:rPr>
          <w:rFonts w:hint="eastAsia"/>
          <w:b w:val="0"/>
          <w:bCs/>
          <w:color w:val="000000" w:themeColor="text1"/>
          <w:sz w:val="22"/>
          <w:szCs w:val="22"/>
          <w:lang w:val="en-US" w:eastAsia="zh-CN"/>
        </w:rPr>
        <w:t xml:space="preserve">The </w:t>
      </w:r>
      <w:r>
        <w:rPr>
          <w:rFonts w:hint="eastAsia"/>
          <w:b w:val="0"/>
          <w:bCs/>
          <w:color w:val="000000" w:themeColor="text1"/>
          <w:sz w:val="22"/>
          <w:szCs w:val="22"/>
        </w:rPr>
        <w:t>Relevant environmental management activities of places involved in the production of line iron parts, steel strand, chassis and cabinet</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val="0"/>
          <w:bCs/>
          <w:color w:val="000000" w:themeColor="text1"/>
          <w:sz w:val="22"/>
          <w:szCs w:val="22"/>
        </w:rPr>
      </w:pPr>
      <w:r>
        <w:rPr>
          <w:rFonts w:hint="eastAsia"/>
          <w:b w:val="0"/>
          <w:bCs/>
          <w:color w:val="000000" w:themeColor="text1"/>
          <w:sz w:val="22"/>
          <w:szCs w:val="22"/>
        </w:rPr>
        <w:t>证书类型：</w:t>
      </w:r>
      <w:r>
        <w:rPr>
          <w:rFonts w:ascii="Wingdings 2" w:hAnsi="Wingdings 2"/>
          <w:b w:val="0"/>
          <w:bCs/>
          <w:color w:val="000000" w:themeColor="text1"/>
          <w:sz w:val="22"/>
          <w:szCs w:val="22"/>
        </w:rPr>
        <w:sym w:font="Wingdings 2" w:char="F0A3"/>
      </w:r>
      <w:r>
        <w:rPr>
          <w:rFonts w:hint="eastAsia"/>
          <w:b w:val="0"/>
          <w:bCs/>
          <w:color w:val="000000" w:themeColor="text1"/>
          <w:sz w:val="22"/>
          <w:szCs w:val="22"/>
        </w:rPr>
        <w:t xml:space="preserve">纸质   </w:t>
      </w:r>
      <w:r>
        <w:rPr>
          <w:rFonts w:ascii="Wingdings 2" w:hAnsi="Wingdings 2"/>
          <w:b w:val="0"/>
          <w:bCs/>
          <w:color w:val="000000" w:themeColor="text1"/>
          <w:sz w:val="22"/>
          <w:szCs w:val="22"/>
        </w:rPr>
        <w:sym w:font="Wingdings 2" w:char="F0A3"/>
      </w:r>
      <w:r>
        <w:rPr>
          <w:rFonts w:hint="eastAsia"/>
          <w:b w:val="0"/>
          <w:bCs/>
          <w:color w:val="000000" w:themeColor="text1"/>
          <w:sz w:val="22"/>
          <w:szCs w:val="22"/>
        </w:rPr>
        <w:t>电子版（在</w:t>
      </w:r>
      <w:r>
        <w:rPr>
          <w:rFonts w:ascii="Wingdings 2" w:hAnsi="Wingdings 2"/>
          <w:b w:val="0"/>
          <w:bCs/>
          <w:color w:val="000000" w:themeColor="text1"/>
          <w:sz w:val="22"/>
          <w:szCs w:val="22"/>
        </w:rPr>
        <w:sym w:font="Wingdings 2" w:char="F0A3"/>
      </w:r>
      <w:r>
        <w:rPr>
          <w:rFonts w:hint="eastAsia"/>
          <w:b w:val="0"/>
          <w:bCs/>
          <w:color w:val="000000" w:themeColor="text1"/>
          <w:sz w:val="22"/>
          <w:szCs w:val="22"/>
        </w:rPr>
        <w:t>打</w:t>
      </w:r>
      <w:r>
        <w:rPr>
          <w:rFonts w:ascii="Symbol" w:hAnsi="Symbol"/>
          <w:b w:val="0"/>
          <w:bCs/>
          <w:color w:val="000000" w:themeColor="text1"/>
          <w:sz w:val="22"/>
          <w:szCs w:val="22"/>
        </w:rPr>
        <w:sym w:font="Symbol" w:char="F0D6"/>
      </w:r>
      <w:r>
        <w:rPr>
          <w:rFonts w:hint="eastAsia"/>
          <w:b w:val="0"/>
          <w:bCs/>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val="0"/>
          <w:bCs/>
          <w:color w:val="000000" w:themeColor="text1"/>
          <w:sz w:val="22"/>
          <w:szCs w:val="22"/>
        </w:rPr>
      </w:pPr>
      <w:r>
        <w:rPr>
          <w:rFonts w:hint="eastAsia"/>
          <w:b w:val="0"/>
          <w:bCs/>
          <w:color w:val="000000" w:themeColor="text1"/>
          <w:sz w:val="22"/>
          <w:szCs w:val="22"/>
        </w:rPr>
        <w:t>自2021年7月1日后发放的证书如需纸质证书，收取100元每证书的费用。</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val="0"/>
          <w:bCs/>
          <w:color w:val="000000" w:themeColor="text1"/>
          <w:sz w:val="22"/>
          <w:szCs w:val="22"/>
        </w:rPr>
      </w:pPr>
      <w:r>
        <w:rPr>
          <w:rFonts w:hint="eastAsia" w:ascii="宋体" w:hAnsi="宋体"/>
          <w:b/>
          <w:kern w:val="0"/>
          <w:sz w:val="24"/>
        </w:rPr>
        <w:drawing>
          <wp:anchor distT="0" distB="0" distL="114300" distR="114300" simplePos="0" relativeHeight="251658240" behindDoc="0" locked="0" layoutInCell="1" allowOverlap="1">
            <wp:simplePos x="0" y="0"/>
            <wp:positionH relativeFrom="column">
              <wp:posOffset>3800475</wp:posOffset>
            </wp:positionH>
            <wp:positionV relativeFrom="paragraph">
              <wp:posOffset>161925</wp:posOffset>
            </wp:positionV>
            <wp:extent cx="828040" cy="398780"/>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5"/>
                    <a:stretch>
                      <a:fillRect/>
                    </a:stretch>
                  </pic:blipFill>
                  <pic:spPr>
                    <a:xfrm>
                      <a:off x="0" y="0"/>
                      <a:ext cx="828040" cy="398780"/>
                    </a:xfrm>
                    <a:prstGeom prst="rect">
                      <a:avLst/>
                    </a:prstGeom>
                    <a:noFill/>
                    <a:ln>
                      <a:noFill/>
                    </a:ln>
                  </pic:spPr>
                </pic:pic>
              </a:graphicData>
            </a:graphic>
          </wp:anchor>
        </w:drawing>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受审核方代表(签字盖章)：                     组长确认：</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日期：</w:t>
      </w:r>
      <w:r>
        <w:rPr>
          <w:rFonts w:hint="eastAsia"/>
          <w:b w:val="0"/>
          <w:bCs/>
          <w:color w:val="000000" w:themeColor="text1"/>
          <w:sz w:val="22"/>
          <w:szCs w:val="22"/>
          <w:lang w:val="en-US" w:eastAsia="zh-CN"/>
        </w:rPr>
        <w:t>2021.3.7</w:t>
      </w:r>
      <w:r>
        <w:rPr>
          <w:rFonts w:hint="eastAsia"/>
          <w:b w:val="0"/>
          <w:bCs/>
          <w:color w:val="000000" w:themeColor="text1"/>
          <w:sz w:val="22"/>
          <w:szCs w:val="22"/>
        </w:rPr>
        <w:t xml:space="preserve">                               日期：</w:t>
      </w:r>
      <w:r>
        <w:rPr>
          <w:rFonts w:hint="eastAsia"/>
          <w:b w:val="0"/>
          <w:bCs/>
          <w:color w:val="000000" w:themeColor="text1"/>
          <w:sz w:val="22"/>
          <w:szCs w:val="22"/>
          <w:lang w:val="en-US" w:eastAsia="zh-CN"/>
        </w:rPr>
        <w:t>2021.3.7</w:t>
      </w:r>
    </w:p>
    <w:p>
      <w:pPr>
        <w:pStyle w:val="2"/>
        <w:spacing w:line="0" w:lineRule="atLeast"/>
        <w:ind w:firstLine="0"/>
        <w:rPr>
          <w:b/>
          <w:color w:val="000000" w:themeColor="text1"/>
          <w:sz w:val="18"/>
          <w:szCs w:val="18"/>
        </w:rPr>
      </w:pPr>
      <w:r>
        <w:rPr>
          <w:b/>
          <w:color w:val="000000" w:themeColor="text1"/>
          <w:sz w:val="18"/>
          <w:szCs w:val="18"/>
        </w:rPr>
        <w:t>注：</w:t>
      </w:r>
    </w:p>
    <w:p>
      <w:pPr>
        <w:pStyle w:val="2"/>
        <w:numPr>
          <w:ilvl w:val="0"/>
          <w:numId w:val="1"/>
        </w:numPr>
        <w:spacing w:line="0" w:lineRule="atLeast"/>
        <w:ind w:firstLine="361" w:firstLineChars="200"/>
        <w:rPr>
          <w:rFonts w:hint="eastAsia" w:ascii="宋体" w:hAnsi="宋体"/>
          <w:b/>
          <w:color w:val="000000" w:themeColor="text1"/>
          <w:sz w:val="18"/>
          <w:szCs w:val="18"/>
        </w:rPr>
      </w:pP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p>
      <w:pPr>
        <w:pStyle w:val="2"/>
        <w:widowControl w:val="0"/>
        <w:numPr>
          <w:ilvl w:val="0"/>
          <w:numId w:val="0"/>
        </w:numPr>
        <w:snapToGrid w:val="0"/>
        <w:spacing w:line="0" w:lineRule="atLeast"/>
        <w:jc w:val="both"/>
        <w:rPr>
          <w:rFonts w:hint="eastAsia" w:ascii="宋体" w:hAnsi="宋体"/>
          <w:b/>
          <w:color w:val="000000" w:themeColor="text1"/>
          <w:sz w:val="18"/>
          <w:szCs w:val="18"/>
        </w:rPr>
      </w:pPr>
    </w:p>
    <w:p>
      <w:pPr>
        <w:pStyle w:val="2"/>
        <w:widowControl w:val="0"/>
        <w:numPr>
          <w:ilvl w:val="0"/>
          <w:numId w:val="0"/>
        </w:numPr>
        <w:snapToGrid w:val="0"/>
        <w:spacing w:line="0" w:lineRule="atLeast"/>
        <w:jc w:val="both"/>
        <w:rPr>
          <w:rFonts w:hint="eastAsia" w:ascii="宋体" w:hAnsi="宋体"/>
          <w:b/>
          <w:color w:val="000000" w:themeColor="text1"/>
          <w:sz w:val="18"/>
          <w:szCs w:val="18"/>
        </w:rPr>
      </w:pPr>
    </w:p>
    <w:p>
      <w:pPr>
        <w:pStyle w:val="2"/>
        <w:widowControl w:val="0"/>
        <w:numPr>
          <w:ilvl w:val="0"/>
          <w:numId w:val="0"/>
        </w:numPr>
        <w:snapToGrid w:val="0"/>
        <w:spacing w:line="0" w:lineRule="atLeast"/>
        <w:jc w:val="both"/>
        <w:rPr>
          <w:rFonts w:hint="eastAsia" w:ascii="宋体" w:hAnsi="宋体"/>
          <w:b/>
          <w:color w:val="000000" w:themeColor="text1"/>
          <w:sz w:val="18"/>
          <w:szCs w:val="18"/>
        </w:rPr>
      </w:pPr>
    </w:p>
    <w:p>
      <w:pPr>
        <w:pStyle w:val="2"/>
        <w:widowControl w:val="0"/>
        <w:numPr>
          <w:ilvl w:val="0"/>
          <w:numId w:val="0"/>
        </w:numPr>
        <w:snapToGrid w:val="0"/>
        <w:spacing w:line="0" w:lineRule="atLeast"/>
        <w:jc w:val="both"/>
        <w:rPr>
          <w:rFonts w:hint="eastAsia" w:ascii="宋体" w:hAnsi="宋体"/>
          <w:b/>
          <w:color w:val="000000" w:themeColor="text1"/>
          <w:sz w:val="18"/>
          <w:szCs w:val="18"/>
        </w:rPr>
      </w:pPr>
    </w:p>
    <w:p>
      <w:pPr>
        <w:pStyle w:val="2"/>
        <w:widowControl w:val="0"/>
        <w:numPr>
          <w:ilvl w:val="0"/>
          <w:numId w:val="0"/>
        </w:numPr>
        <w:snapToGrid w:val="0"/>
        <w:spacing w:line="0" w:lineRule="atLeast"/>
        <w:jc w:val="both"/>
        <w:rPr>
          <w:rFonts w:hint="eastAsia" w:ascii="宋体" w:hAnsi="宋体"/>
          <w:b/>
          <w:color w:val="000000" w:themeColor="text1"/>
          <w:sz w:val="18"/>
          <w:szCs w:val="18"/>
        </w:rPr>
      </w:pPr>
    </w:p>
    <w:p>
      <w:pPr>
        <w:pStyle w:val="2"/>
        <w:widowControl w:val="0"/>
        <w:numPr>
          <w:ilvl w:val="0"/>
          <w:numId w:val="0"/>
        </w:numPr>
        <w:snapToGrid w:val="0"/>
        <w:spacing w:line="0" w:lineRule="atLeast"/>
        <w:jc w:val="both"/>
        <w:rPr>
          <w:rFonts w:hint="eastAsia" w:ascii="宋体" w:hAnsi="宋体"/>
          <w:b/>
          <w:color w:val="000000" w:themeColor="text1"/>
          <w:sz w:val="18"/>
          <w:szCs w:val="18"/>
        </w:rPr>
      </w:pPr>
    </w:p>
    <w:p>
      <w:pPr>
        <w:pStyle w:val="2"/>
        <w:widowControl w:val="0"/>
        <w:numPr>
          <w:ilvl w:val="0"/>
          <w:numId w:val="0"/>
        </w:numPr>
        <w:snapToGrid w:val="0"/>
        <w:spacing w:line="0" w:lineRule="atLeast"/>
        <w:jc w:val="both"/>
        <w:rPr>
          <w:rFonts w:hint="eastAsia" w:ascii="宋体" w:hAnsi="宋体"/>
          <w:b/>
          <w:color w:val="000000" w:themeColor="text1"/>
          <w:sz w:val="18"/>
          <w:szCs w:val="18"/>
        </w:rPr>
      </w:pPr>
    </w:p>
    <w:p>
      <w:pPr>
        <w:pStyle w:val="2"/>
        <w:widowControl w:val="0"/>
        <w:numPr>
          <w:ilvl w:val="0"/>
          <w:numId w:val="0"/>
        </w:numPr>
        <w:snapToGrid w:val="0"/>
        <w:spacing w:line="0" w:lineRule="atLeast"/>
        <w:jc w:val="both"/>
        <w:rPr>
          <w:rFonts w:hint="eastAsia" w:ascii="宋体" w:hAnsi="宋体"/>
          <w:b/>
          <w:color w:val="000000" w:themeColor="text1"/>
          <w:sz w:val="18"/>
          <w:szCs w:val="18"/>
        </w:rPr>
      </w:pPr>
    </w:p>
    <w:p>
      <w:pPr>
        <w:pStyle w:val="2"/>
        <w:widowControl w:val="0"/>
        <w:numPr>
          <w:ilvl w:val="0"/>
          <w:numId w:val="0"/>
        </w:numPr>
        <w:snapToGrid w:val="0"/>
        <w:spacing w:line="0" w:lineRule="atLeast"/>
        <w:jc w:val="both"/>
        <w:rPr>
          <w:rFonts w:hint="eastAsia" w:ascii="宋体" w:hAnsi="宋体"/>
          <w:b/>
          <w:color w:val="000000" w:themeColor="text1"/>
          <w:sz w:val="18"/>
          <w:szCs w:val="18"/>
        </w:rPr>
      </w:pPr>
    </w:p>
    <w:p>
      <w:pPr>
        <w:pStyle w:val="2"/>
        <w:widowControl w:val="0"/>
        <w:numPr>
          <w:ilvl w:val="0"/>
          <w:numId w:val="0"/>
        </w:numPr>
        <w:snapToGrid w:val="0"/>
        <w:spacing w:line="0" w:lineRule="atLeast"/>
        <w:jc w:val="both"/>
        <w:rPr>
          <w:rFonts w:hint="eastAsia" w:ascii="宋体" w:hAnsi="宋体"/>
          <w:b/>
          <w:color w:val="000000" w:themeColor="text1"/>
          <w:sz w:val="18"/>
          <w:szCs w:val="18"/>
        </w:rPr>
      </w:pPr>
    </w:p>
    <w:p>
      <w:pPr>
        <w:pStyle w:val="2"/>
        <w:widowControl w:val="0"/>
        <w:numPr>
          <w:ilvl w:val="0"/>
          <w:numId w:val="0"/>
        </w:numPr>
        <w:snapToGrid w:val="0"/>
        <w:spacing w:line="0" w:lineRule="atLeast"/>
        <w:jc w:val="both"/>
        <w:rPr>
          <w:rFonts w:hint="eastAsia" w:ascii="宋体" w:hAnsi="宋体"/>
          <w:b/>
          <w:color w:val="000000" w:themeColor="text1"/>
          <w:sz w:val="18"/>
          <w:szCs w:val="18"/>
        </w:rPr>
      </w:pPr>
      <w:bookmarkStart w:id="16" w:name="_GoBack"/>
      <w:bookmarkEnd w:id="16"/>
    </w:p>
    <w:p>
      <w:pPr>
        <w:pStyle w:val="2"/>
        <w:widowControl w:val="0"/>
        <w:numPr>
          <w:ilvl w:val="0"/>
          <w:numId w:val="0"/>
        </w:numPr>
        <w:snapToGrid w:val="0"/>
        <w:spacing w:line="0" w:lineRule="atLeast"/>
        <w:jc w:val="both"/>
        <w:rPr>
          <w:rFonts w:hint="eastAsia" w:ascii="宋体" w:hAnsi="宋体" w:eastAsia="宋体"/>
          <w:b/>
          <w:color w:val="000000" w:themeColor="text1"/>
          <w:sz w:val="18"/>
          <w:szCs w:val="18"/>
          <w:lang w:eastAsia="zh-CN"/>
        </w:rPr>
      </w:pPr>
      <w:r>
        <w:rPr>
          <w:rFonts w:hint="eastAsia" w:ascii="宋体" w:hAnsi="宋体" w:eastAsia="宋体"/>
          <w:b/>
          <w:color w:val="000000" w:themeColor="text1"/>
          <w:sz w:val="18"/>
          <w:szCs w:val="18"/>
          <w:lang w:eastAsia="zh-CN"/>
        </w:rPr>
        <w:drawing>
          <wp:inline distT="0" distB="0" distL="114300" distR="114300">
            <wp:extent cx="6182995" cy="8745855"/>
            <wp:effectExtent l="0" t="0" r="1905" b="4445"/>
            <wp:docPr id="3" name="图片 3" descr="扫描1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扫描10008"/>
                    <pic:cNvPicPr>
                      <a:picLocks noChangeAspect="1"/>
                    </pic:cNvPicPr>
                  </pic:nvPicPr>
                  <pic:blipFill>
                    <a:blip r:embed="rId6"/>
                    <a:stretch>
                      <a:fillRect/>
                    </a:stretch>
                  </pic:blipFill>
                  <pic:spPr>
                    <a:xfrm>
                      <a:off x="0" y="0"/>
                      <a:ext cx="6182995" cy="8745855"/>
                    </a:xfrm>
                    <a:prstGeom prst="rect">
                      <a:avLst/>
                    </a:prstGeom>
                  </pic:spPr>
                </pic:pic>
              </a:graphicData>
            </a:graphic>
          </wp:inline>
        </w:drawing>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34097B"/>
    <w:multiLevelType w:val="singleLevel"/>
    <w:tmpl w:val="DD34097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77C1F8A"/>
    <w:rsid w:val="2E2C17D3"/>
    <w:rsid w:val="3A007D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2</TotalTime>
  <ScaleCrop>false</ScaleCrop>
  <LinksUpToDate>false</LinksUpToDate>
  <CharactersWithSpaces>987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2021-03-11T00:11:13Z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