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112395</wp:posOffset>
            </wp:positionV>
            <wp:extent cx="6402705" cy="9056370"/>
            <wp:effectExtent l="0" t="0" r="10795" b="11430"/>
            <wp:wrapNone/>
            <wp:docPr id="1" name="图片 1" descr="扫描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10007"/>
                    <pic:cNvPicPr>
                      <a:picLocks noChangeAspect="1"/>
                    </pic:cNvPicPr>
                  </pic:nvPicPr>
                  <pic:blipFill>
                    <a:blip r:embed="rId6"/>
                    <a:stretch>
                      <a:fillRect/>
                    </a:stretch>
                  </pic:blipFill>
                  <pic:spPr>
                    <a:xfrm>
                      <a:off x="0" y="0"/>
                      <a:ext cx="6402705" cy="905637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任丘市红河邮电器材有限公司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0116-2021-E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r>
              <w:rPr>
                <w:rFonts w:hint="eastAsia"/>
                <w:sz w:val="22"/>
                <w:szCs w:val="22"/>
              </w:rPr>
              <w:t>环境管理体系：初次认证第（二）阶段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2021.3.6</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022BCD"/>
    <w:rsid w:val="12FA7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92</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2021-03-08T03:23:04Z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