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38" w:type="dxa"/>
            <w:vAlign w:val="center"/>
          </w:tcPr>
          <w:p>
            <w:pPr>
              <w:rPr>
                <w:sz w:val="24"/>
                <w:szCs w:val="24"/>
              </w:rPr>
            </w:pPr>
            <w:r>
              <w:rPr>
                <w:rFonts w:hint="eastAsia"/>
                <w:sz w:val="24"/>
                <w:szCs w:val="24"/>
              </w:rPr>
              <w:t>受审核部门：生产部（含技术、质量）     主管领导：杨斌         陪同人员：周杨海</w:t>
            </w:r>
          </w:p>
        </w:tc>
        <w:tc>
          <w:tcPr>
            <w:tcW w:w="8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38" w:type="dxa"/>
            <w:vAlign w:val="center"/>
          </w:tcPr>
          <w:p>
            <w:pPr>
              <w:spacing w:before="120"/>
            </w:pPr>
            <w:r>
              <w:rPr>
                <w:rFonts w:hint="eastAsia"/>
                <w:sz w:val="24"/>
                <w:szCs w:val="24"/>
              </w:rPr>
              <w:t>审核员：</w:t>
            </w:r>
            <w:r>
              <w:rPr>
                <w:rFonts w:hint="eastAsia"/>
                <w:sz w:val="24"/>
                <w:szCs w:val="24"/>
                <w:lang w:val="en-US" w:eastAsia="zh-CN"/>
              </w:rPr>
              <w:t>伍光华、潘荣君</w:t>
            </w:r>
            <w:r>
              <w:rPr>
                <w:rFonts w:hint="eastAsia"/>
                <w:sz w:val="24"/>
                <w:szCs w:val="24"/>
              </w:rPr>
              <w:t xml:space="preserve">     审核时间：20</w:t>
            </w:r>
            <w:r>
              <w:rPr>
                <w:rFonts w:hint="eastAsia"/>
                <w:sz w:val="24"/>
                <w:szCs w:val="24"/>
                <w:lang w:val="en-US" w:eastAsia="zh-CN"/>
              </w:rPr>
              <w:t>21</w:t>
            </w:r>
            <w:r>
              <w:rPr>
                <w:rFonts w:hint="eastAsia"/>
                <w:sz w:val="24"/>
                <w:szCs w:val="24"/>
              </w:rPr>
              <w:t>年</w:t>
            </w:r>
            <w:r>
              <w:rPr>
                <w:rFonts w:hint="eastAsia"/>
                <w:sz w:val="24"/>
                <w:szCs w:val="24"/>
                <w:lang w:val="en-US" w:eastAsia="zh-CN"/>
              </w:rPr>
              <w:t>2</w:t>
            </w:r>
            <w:r>
              <w:rPr>
                <w:rFonts w:hint="eastAsia"/>
                <w:sz w:val="24"/>
                <w:szCs w:val="24"/>
              </w:rPr>
              <w:t>月</w:t>
            </w:r>
            <w:r>
              <w:rPr>
                <w:rFonts w:hint="eastAsia"/>
                <w:sz w:val="24"/>
                <w:szCs w:val="24"/>
                <w:lang w:val="en-US" w:eastAsia="zh-CN"/>
              </w:rPr>
              <w:t>27-28</w:t>
            </w:r>
            <w:r>
              <w:rPr>
                <w:rFonts w:hint="eastAsia"/>
                <w:sz w:val="24"/>
                <w:szCs w:val="24"/>
              </w:rPr>
              <w:t>日</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38" w:type="dxa"/>
            <w:vAlign w:val="center"/>
          </w:tcPr>
          <w:p>
            <w:pPr>
              <w:rPr>
                <w:sz w:val="24"/>
                <w:szCs w:val="24"/>
              </w:rPr>
            </w:pPr>
            <w:r>
              <w:rPr>
                <w:rFonts w:hint="eastAsia"/>
                <w:sz w:val="24"/>
                <w:szCs w:val="24"/>
              </w:rPr>
              <w:t>审核条款：</w:t>
            </w:r>
          </w:p>
          <w:p>
            <w:pPr>
              <w:adjustRightInd w:val="0"/>
              <w:snapToGrid w:val="0"/>
              <w:spacing w:line="320" w:lineRule="exact"/>
              <w:ind w:right="105" w:rightChars="50"/>
              <w:jc w:val="left"/>
              <w:textAlignment w:val="baseline"/>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QMS:5.3组织的岗位、职责和权限、6.2质量目标、8.2产品和服务的要求、产品和服务的控制、8.1运行策划和控制、8.3产品和服务的设计和开发不适用确认</w:t>
            </w:r>
            <w:r>
              <w:rPr>
                <w:rFonts w:hint="eastAsia" w:cs="Arial"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8.5.1</w:t>
            </w:r>
            <w:r>
              <w:rPr>
                <w:rFonts w:hint="eastAsia" w:cs="Arial" w:asciiTheme="minorEastAsia" w:hAnsiTheme="minorEastAsia" w:eastAsiaTheme="minorEastAsia"/>
                <w:sz w:val="21"/>
                <w:szCs w:val="21"/>
                <w:lang w:val="en-US" w:eastAsia="zh-CN"/>
              </w:rPr>
              <w:t>生产</w:t>
            </w:r>
            <w:r>
              <w:rPr>
                <w:rFonts w:hint="eastAsia" w:cs="Arial" w:asciiTheme="minorEastAsia" w:hAnsiTheme="minorEastAsia" w:eastAsiaTheme="minorEastAsia"/>
                <w:sz w:val="21"/>
                <w:szCs w:val="21"/>
              </w:rPr>
              <w:t>和服务提供的控制</w:t>
            </w:r>
            <w:r>
              <w:rPr>
                <w:rFonts w:hint="eastAsia" w:cs="Arial" w:asciiTheme="minorEastAsia" w:hAnsiTheme="minorEastAsia" w:eastAsiaTheme="minorEastAsia"/>
                <w:sz w:val="21"/>
                <w:szCs w:val="21"/>
                <w:lang w:eastAsia="zh-CN"/>
              </w:rPr>
              <w:t>、</w:t>
            </w:r>
            <w:r>
              <w:rPr>
                <w:rFonts w:hint="eastAsia" w:cs="Arial" w:asciiTheme="minorEastAsia" w:hAnsiTheme="minorEastAsia" w:eastAsiaTheme="minorEastAsia"/>
                <w:sz w:val="21"/>
                <w:szCs w:val="21"/>
              </w:rPr>
              <w:t>8.6产品和服务的放行8.7不合格输出的控制10.2不符合/事件和纠正措施</w:t>
            </w:r>
          </w:p>
          <w:p>
            <w:pPr>
              <w:rPr>
                <w:sz w:val="24"/>
                <w:szCs w:val="24"/>
              </w:rPr>
            </w:pPr>
            <w:r>
              <w:rPr>
                <w:rFonts w:hint="eastAsia" w:cs="Arial" w:asciiTheme="minorEastAsia" w:hAnsiTheme="minorEastAsia" w:eastAsiaTheme="minorEastAsia"/>
                <w:sz w:val="21"/>
                <w:szCs w:val="21"/>
              </w:rPr>
              <w:t>E/OMS: 5.3组织的岗位、职责和权限、6.2环境与职业健康安全目标、6.1.2环境因素/危险源辨识与评价、8.1运行策划和控制、8.2应急准备和响应</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Theme="minorEastAsia" w:hAnsiTheme="minorEastAsia" w:eastAsiaTheme="minorEastAsia" w:cstheme="minorEastAsia"/>
                <w:szCs w:val="21"/>
              </w:rPr>
              <w:t>询查部门及人员的职责和权限，是否与规定一致？</w:t>
            </w:r>
          </w:p>
        </w:tc>
        <w:tc>
          <w:tcPr>
            <w:tcW w:w="960" w:type="dxa"/>
          </w:tcPr>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QES5.3</w:t>
            </w:r>
          </w:p>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S5.4</w:t>
            </w:r>
          </w:p>
          <w:p>
            <w:r>
              <w:rPr>
                <w:rFonts w:hint="eastAsia" w:asciiTheme="minorEastAsia" w:hAnsiTheme="minorEastAsia" w:eastAsiaTheme="minorEastAsia" w:cstheme="minorEastAsia"/>
                <w:b/>
                <w:bCs/>
                <w:szCs w:val="21"/>
              </w:rPr>
              <w:t>Q7.4</w:t>
            </w:r>
          </w:p>
        </w:tc>
        <w:tc>
          <w:tcPr>
            <w:tcW w:w="10738" w:type="dxa"/>
          </w:tcPr>
          <w:p>
            <w:pPr>
              <w:numPr>
                <w:ilvl w:val="3"/>
                <w:numId w:val="0"/>
              </w:num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查《管理手册》中的职能分配表和手册中规定：对职能部门和各类人员的职责和权限做了规定，同时制定了SC/ZYFS- 20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(B)管理制度及职责汇编，通过对《管理手册》及SC/ZYFS- 20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B)管理制度及职责汇编等管理文件的发布，使各部门及岗位的职责和权限在公司内得到沟通，符合规定要求。</w:t>
            </w:r>
          </w:p>
          <w:p>
            <w:pPr>
              <w:numPr>
                <w:ilvl w:val="3"/>
                <w:numId w:val="0"/>
              </w:num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经理杨斌，配置生产计划员、技术员、设备维护员、技能工人等人员，具体负责基础设施管理、过程运行环境控制、产品实现过程的策划控制、生产和服务提供过程确认控制、标识和可追溯性控制、产品防护控制、变更控制、监视和测量、不合格品控制、纠正措施控制、预防措施控制、危险源、环境因素识别及评价控制、目标指标和管理方案控制、运行控制、应急准备和响应控制等。</w:t>
            </w:r>
          </w:p>
          <w:p>
            <w:pPr>
              <w:numPr>
                <w:ilvl w:val="3"/>
                <w:numId w:val="0"/>
              </w:num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与生产部经理杨斌沟通，对本部门的主要工作及部门员工的职责和权限比较了解，基本符合。</w:t>
            </w:r>
          </w:p>
          <w:p>
            <w:pPr>
              <w:numPr>
                <w:ilvl w:val="3"/>
                <w:numId w:val="0"/>
              </w:numPr>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询问车间操作工熊传会、刘昌军岗位职责及作业操作情况，对其本岗位的职责和权限了解清楚，作业标准熟悉，操作熟练，基本符合。</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应对风险和机遇的措施</w:t>
            </w:r>
          </w:p>
          <w:p/>
        </w:tc>
        <w:tc>
          <w:tcPr>
            <w:tcW w:w="960" w:type="dxa"/>
          </w:tcPr>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bCs/>
                <w:szCs w:val="21"/>
              </w:rPr>
              <w:t>QE</w:t>
            </w:r>
            <w:r>
              <w:rPr>
                <w:rFonts w:hint="eastAsia" w:asciiTheme="minorEastAsia" w:hAnsiTheme="minorEastAsia" w:eastAsiaTheme="minorEastAsia" w:cstheme="minorEastAsia"/>
                <w:b/>
                <w:szCs w:val="21"/>
              </w:rPr>
              <w:t>6.1</w:t>
            </w:r>
          </w:p>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S6.1.1</w:t>
            </w:r>
          </w:p>
          <w:p/>
        </w:tc>
        <w:tc>
          <w:tcPr>
            <w:tcW w:w="10738" w:type="dxa"/>
          </w:tcPr>
          <w:p>
            <w:pPr>
              <w:numPr>
                <w:ilvl w:val="3"/>
                <w:numId w:val="0"/>
              </w:num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制定</w:t>
            </w:r>
            <w:r>
              <w:rPr>
                <w:rFonts w:asciiTheme="minorEastAsia" w:hAnsiTheme="minorEastAsia" w:eastAsiaTheme="minorEastAsia" w:cstheme="minorEastAsia"/>
                <w:szCs w:val="21"/>
              </w:rPr>
              <w:t>ZYFS-CX</w:t>
            </w:r>
            <w:r>
              <w:rPr>
                <w:rFonts w:hint="eastAsia" w:asciiTheme="minorEastAsia" w:hAnsiTheme="minorEastAsia" w:eastAsiaTheme="minorEastAsia" w:cstheme="minorEastAsia"/>
                <w:szCs w:val="21"/>
              </w:rPr>
              <w:t>-21-20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风险和机遇的应对控制程序》，用过程方法及风险评价识别了本部门的质量、环境、职业健康安全风险及应对措施的策划，有《风险和机遇识别及应对措施表》，将需要应对的风险和机遇进行风险分析确定风险级别（低、一般。高），在质量管理体系所确定的过程（客户需求；原法规要求；原材料供应；售后服务；生产能力；公司运营；资源控制等）中，整合制定针对性应对措施（如完善公司管理文件等）。</w:t>
            </w:r>
          </w:p>
          <w:p>
            <w:pPr>
              <w:ind w:firstLine="210" w:firstLineChars="1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并于20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-12进行了措施有效性的评审，结果为有效，编制：杨斌    批准：杨大忠。</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tcPr>
          <w:p>
            <w:pPr>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目标及其实现的策划总要求</w:t>
            </w:r>
          </w:p>
          <w:p>
            <w:pPr>
              <w:spacing w:line="360" w:lineRule="auto"/>
              <w:rPr>
                <w:rFonts w:asciiTheme="minorEastAsia" w:hAnsiTheme="minorEastAsia" w:eastAsiaTheme="minorEastAsia" w:cstheme="minorEastAsia"/>
                <w:szCs w:val="21"/>
              </w:rPr>
            </w:pPr>
          </w:p>
        </w:tc>
        <w:tc>
          <w:tcPr>
            <w:tcW w:w="960" w:type="dxa"/>
          </w:tcPr>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bCs/>
                <w:szCs w:val="21"/>
              </w:rPr>
              <w:t>QES</w:t>
            </w:r>
            <w:r>
              <w:rPr>
                <w:rFonts w:hint="eastAsia" w:asciiTheme="minorEastAsia" w:hAnsiTheme="minorEastAsia" w:eastAsiaTheme="minorEastAsia" w:cstheme="minorEastAsia"/>
                <w:b/>
                <w:szCs w:val="21"/>
              </w:rPr>
              <w:t>6.2</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bCs/>
                <w:szCs w:val="21"/>
              </w:rPr>
              <w:t>Q7.4</w:t>
            </w:r>
          </w:p>
          <w:p>
            <w:pPr>
              <w:spacing w:line="360" w:lineRule="auto"/>
              <w:rPr>
                <w:rFonts w:asciiTheme="minorEastAsia" w:hAnsiTheme="minorEastAsia" w:eastAsiaTheme="minorEastAsia" w:cstheme="minorEastAsia"/>
                <w:szCs w:val="21"/>
              </w:rPr>
            </w:pPr>
          </w:p>
        </w:tc>
        <w:tc>
          <w:tcPr>
            <w:tcW w:w="10738" w:type="dxa"/>
          </w:tcPr>
          <w:p>
            <w:pPr>
              <w:spacing w:line="360" w:lineRule="auto"/>
              <w:ind w:firstLine="420" w:firstLineChars="200"/>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szCs w:val="21"/>
              </w:rPr>
              <w:t>查有公司公司级管理目标，并按照部门对目标进行分解，有目标管理管理规定，规定了目标的分解及考核的具体方法。</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防水卷材配合比出错次数为零</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生产过程粉尘、噪声达标排放</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生产设备及时维修，设备完好率</w:t>
            </w:r>
            <w:r>
              <w:rPr>
                <w:rFonts w:hint="eastAsia" w:ascii="宋体" w:hAnsi="宋体" w:eastAsia="宋体" w:cs="宋体"/>
                <w:color w:val="auto"/>
                <w:szCs w:val="21"/>
                <w:lang w:val="en-US" w:eastAsia="zh-CN"/>
              </w:rPr>
              <w:t>&gt;</w:t>
            </w:r>
            <w:r>
              <w:rPr>
                <w:rFonts w:hint="eastAsia" w:asciiTheme="minorEastAsia" w:hAnsiTheme="minorEastAsia" w:eastAsiaTheme="minorEastAsia" w:cstheme="minorEastAsia"/>
                <w:color w:val="auto"/>
                <w:szCs w:val="21"/>
                <w:lang w:val="en-US" w:eastAsia="zh-CN"/>
              </w:rPr>
              <w:t>90%</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职业病发生率为零</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重大安全事故为零</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按规定处置固体废物</w:t>
            </w:r>
          </w:p>
          <w:p>
            <w:pPr>
              <w:spacing w:line="360" w:lineRule="auto"/>
              <w:ind w:firstLine="420" w:firstLineChars="200"/>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在用测量设备检定（校准）率100%</w:t>
            </w:r>
          </w:p>
          <w:p>
            <w:pPr>
              <w:spacing w:line="360" w:lineRule="auto"/>
              <w:ind w:firstLine="420" w:firstLineChars="200"/>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经2020年12月30日考核，全部完成。</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与方针一致，符合公司总的质量、环境、职业健康安全目标，经查，达成目标，并将管理目标完成情况在公司会议上进行通报。</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环境管理方案：</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提供了《环境目标、指标、管理方案》， 管理方案内容包括如下：环境目标、环境指标、管理措施、完成时间、责任部门等内容。具有一定的可操作性。</w:t>
            </w:r>
          </w:p>
          <w:p>
            <w:pPr>
              <w:spacing w:line="360" w:lineRule="auto"/>
              <w:ind w:left="55" w:leftChars="26" w:firstLine="315" w:firstLineChars="150"/>
              <w:rPr>
                <w:rFonts w:asciiTheme="minorEastAsia" w:hAnsiTheme="minorEastAsia" w:eastAsiaTheme="minorEastAsia" w:cstheme="minorEastAsia"/>
                <w:szCs w:val="21"/>
              </w:rPr>
            </w:pPr>
            <w:r>
              <w:rPr>
                <w:rFonts w:asciiTheme="minorEastAsia" w:hAnsiTheme="minorEastAsia" w:eastAsiaTheme="minorEastAsia" w:cstheme="minorEastAsia"/>
                <w:szCs w:val="21"/>
              </w:rPr>
              <w:t>抽查管理方案的实施情况</w:t>
            </w:r>
          </w:p>
          <w:p>
            <w:pPr>
              <w:spacing w:line="360" w:lineRule="auto"/>
              <w:ind w:left="55" w:leftChars="26" w:firstLine="315" w:firstLineChars="1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szCs w:val="21"/>
              </w:rPr>
              <w:t>对废气达标排放 采取措施如下：1.</w:t>
            </w:r>
            <w:r>
              <w:rPr>
                <w:rFonts w:hint="eastAsia"/>
              </w:rPr>
              <w:t>建立生产现场环境保护管理制度，高效利用环保设备</w:t>
            </w:r>
            <w:r>
              <w:rPr>
                <w:rFonts w:hint="eastAsia" w:asciiTheme="minorEastAsia" w:hAnsiTheme="minorEastAsia" w:eastAsiaTheme="minorEastAsia" w:cstheme="minorEastAsia"/>
                <w:szCs w:val="21"/>
              </w:rPr>
              <w:t>；2.生产车间安装收尘设备。完成情况：</w:t>
            </w:r>
            <w:r>
              <w:rPr>
                <w:rFonts w:hint="eastAsia" w:asciiTheme="minorEastAsia" w:hAnsiTheme="minorEastAsia" w:eastAsiaTheme="minorEastAsia" w:cstheme="minorEastAsia"/>
                <w:color w:val="auto"/>
                <w:szCs w:val="21"/>
              </w:rPr>
              <w:t>于20</w:t>
            </w:r>
            <w:r>
              <w:rPr>
                <w:rFonts w:hint="eastAsia" w:asciiTheme="minorEastAsia" w:hAnsiTheme="minorEastAsia" w:eastAsiaTheme="minorEastAsia" w:cstheme="minorEastAsia"/>
                <w:color w:val="auto"/>
                <w:szCs w:val="21"/>
                <w:lang w:val="en-US" w:eastAsia="zh-CN"/>
              </w:rPr>
              <w:t>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12</w:t>
            </w:r>
            <w:r>
              <w:rPr>
                <w:rFonts w:hint="eastAsia" w:asciiTheme="minorEastAsia" w:hAnsiTheme="minorEastAsia" w:eastAsiaTheme="minorEastAsia" w:cstheme="minorEastAsia"/>
                <w:color w:val="auto"/>
                <w:szCs w:val="21"/>
              </w:rPr>
              <w:t>月30日对生产车间进行废气控制检查，符合要求。</w:t>
            </w:r>
          </w:p>
          <w:p>
            <w:pPr>
              <w:spacing w:line="360" w:lineRule="auto"/>
              <w:ind w:left="55" w:leftChars="26" w:firstLine="315" w:firstLineChars="1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预防爆炸采取措施如下：建立锅炉管理制度；人员持证上岗；压力容器定期检测。完成情况：于20</w:t>
            </w:r>
            <w:r>
              <w:rPr>
                <w:rFonts w:hint="eastAsia" w:asciiTheme="minorEastAsia" w:hAnsiTheme="minorEastAsia" w:eastAsiaTheme="minorEastAsia" w:cstheme="minorEastAsia"/>
                <w:color w:val="auto"/>
                <w:szCs w:val="21"/>
                <w:lang w:val="en-US" w:eastAsia="zh-CN"/>
              </w:rPr>
              <w:t>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12</w:t>
            </w:r>
            <w:r>
              <w:rPr>
                <w:rFonts w:hint="eastAsia" w:asciiTheme="minorEastAsia" w:hAnsiTheme="minorEastAsia" w:eastAsiaTheme="minorEastAsia" w:cstheme="minorEastAsia"/>
                <w:color w:val="auto"/>
                <w:szCs w:val="21"/>
              </w:rPr>
              <w:t>月30日月进行了检查，符合要求。</w:t>
            </w:r>
          </w:p>
          <w:p>
            <w:pPr>
              <w:spacing w:line="360" w:lineRule="auto"/>
              <w:ind w:left="55" w:leftChars="26" w:firstLine="315" w:firstLineChars="1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预防烫伤 采取措施如下：建立沥青在生产中的管理规定；给员工配备防烫伤用品。完成情况：于20</w:t>
            </w:r>
            <w:r>
              <w:rPr>
                <w:rFonts w:hint="eastAsia" w:asciiTheme="minorEastAsia" w:hAnsiTheme="minorEastAsia" w:eastAsiaTheme="minorEastAsia" w:cstheme="minorEastAsia"/>
                <w:color w:val="auto"/>
                <w:szCs w:val="21"/>
                <w:lang w:val="en-US" w:eastAsia="zh-CN"/>
              </w:rPr>
              <w:t>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12</w:t>
            </w:r>
            <w:r>
              <w:rPr>
                <w:rFonts w:hint="eastAsia" w:asciiTheme="minorEastAsia" w:hAnsiTheme="minorEastAsia" w:eastAsiaTheme="minorEastAsia" w:cstheme="minorEastAsia"/>
                <w:color w:val="auto"/>
                <w:szCs w:val="21"/>
              </w:rPr>
              <w:t>月30日对生产车间进行卷材生产线全面检查 符合要求，。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职业健康安全管理方案：</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《职业健康安全目标及管理方案》，管理方案内容如下：</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查看管理方案及实施情况：目标、对应不可接受风险、管理措施、实施时间等内容。具有一定的可操作性。</w:t>
            </w:r>
          </w:p>
          <w:p>
            <w:pPr>
              <w:spacing w:line="360" w:lineRule="auto"/>
              <w:ind w:left="55" w:leftChars="26" w:firstLine="315" w:firstLineChars="150"/>
              <w:rPr>
                <w:rFonts w:asciiTheme="minorEastAsia" w:hAnsiTheme="minorEastAsia" w:eastAsiaTheme="minorEastAsia" w:cstheme="minorEastAsia"/>
                <w:szCs w:val="21"/>
              </w:rPr>
            </w:pPr>
            <w:r>
              <w:rPr>
                <w:rFonts w:asciiTheme="minorEastAsia" w:hAnsiTheme="minorEastAsia" w:eastAsiaTheme="minorEastAsia" w:cstheme="minorEastAsia"/>
                <w:szCs w:val="21"/>
              </w:rPr>
              <w:t>抽查管理方案的实施情况</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烫伤 采取措施如下：佩戴防烫伤手套。完成情况：于</w:t>
            </w:r>
            <w:r>
              <w:rPr>
                <w:rFonts w:hint="eastAsia" w:asciiTheme="minorEastAsia" w:hAnsiTheme="minorEastAsia" w:eastAsiaTheme="minorEastAsia" w:cstheme="minorEastAsia"/>
                <w:color w:val="auto"/>
                <w:szCs w:val="21"/>
              </w:rPr>
              <w:t>20</w:t>
            </w:r>
            <w:r>
              <w:rPr>
                <w:rFonts w:hint="eastAsia" w:asciiTheme="minorEastAsia" w:hAnsiTheme="minorEastAsia" w:eastAsiaTheme="minorEastAsia" w:cstheme="minorEastAsia"/>
                <w:color w:val="auto"/>
                <w:szCs w:val="21"/>
                <w:lang w:val="en-US" w:eastAsia="zh-CN"/>
              </w:rPr>
              <w:t>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12</w:t>
            </w:r>
            <w:r>
              <w:rPr>
                <w:rFonts w:hint="eastAsia" w:asciiTheme="minorEastAsia" w:hAnsiTheme="minorEastAsia" w:eastAsiaTheme="minorEastAsia" w:cstheme="minorEastAsia"/>
                <w:color w:val="auto"/>
                <w:szCs w:val="21"/>
              </w:rPr>
              <w:t>月30日</w:t>
            </w:r>
            <w:r>
              <w:rPr>
                <w:rFonts w:hint="eastAsia" w:asciiTheme="minorEastAsia" w:hAnsiTheme="minorEastAsia" w:eastAsiaTheme="minorEastAsia" w:cstheme="minorEastAsia"/>
                <w:szCs w:val="21"/>
              </w:rPr>
              <w:t>检查重要岗位佩戴了防护用品 符合要求。</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职业病（废气） 采取措施如下：在监测设备使用前进行全面检查，制定设备安全操作规程。定期到生产车间检查设备并安全正确操作。完成情况：正在实施。</w:t>
            </w:r>
          </w:p>
          <w:p>
            <w:pPr>
              <w:spacing w:line="360" w:lineRule="auto"/>
              <w:ind w:left="55" w:leftChars="26"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预防爆炸采取措施如下：压力容器进行检测，操作人员持证上岗，安全培训。完成情况：于</w:t>
            </w:r>
            <w:r>
              <w:rPr>
                <w:rFonts w:hint="eastAsia" w:asciiTheme="minorEastAsia" w:hAnsiTheme="minorEastAsia" w:eastAsiaTheme="minorEastAsia" w:cstheme="minorEastAsia"/>
                <w:color w:val="auto"/>
                <w:szCs w:val="21"/>
              </w:rPr>
              <w:t>20</w:t>
            </w:r>
            <w:r>
              <w:rPr>
                <w:rFonts w:hint="eastAsia" w:asciiTheme="minorEastAsia" w:hAnsiTheme="minorEastAsia" w:eastAsiaTheme="minorEastAsia" w:cstheme="minorEastAsia"/>
                <w:color w:val="auto"/>
                <w:szCs w:val="21"/>
                <w:lang w:val="en-US" w:eastAsia="zh-CN"/>
              </w:rPr>
              <w:t>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12</w:t>
            </w:r>
            <w:r>
              <w:rPr>
                <w:rFonts w:hint="eastAsia" w:asciiTheme="minorEastAsia" w:hAnsiTheme="minorEastAsia" w:eastAsiaTheme="minorEastAsia" w:cstheme="minorEastAsia"/>
                <w:color w:val="auto"/>
                <w:szCs w:val="21"/>
              </w:rPr>
              <w:t>月30日</w:t>
            </w:r>
            <w:r>
              <w:rPr>
                <w:rFonts w:hint="eastAsia" w:asciiTheme="minorEastAsia" w:hAnsiTheme="minorEastAsia" w:eastAsiaTheme="minorEastAsia" w:cstheme="minorEastAsia"/>
                <w:szCs w:val="21"/>
              </w:rPr>
              <w:t>进行了检查，符合要求。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运行的策划和控制：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1、询问主管人员，如何识别，以什么形式识别。</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2、询问并核实策划的时机。</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3、询问如何确保一致。</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4、组织策划的输出形式是什么？</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查策划的输出，是否考虑了以下要求：B、质量目标和要求。b、针对产品确定过程文件的资源。c、策划服务所需的验证、确认、监视的接收准则。d、规定了哪些所需的记录。e、核查策划输出文件的适宜性和齐全性，是否符合文件控制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2、询问前述策划是否适合组织的运行方式？</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3、组织针对产品和服务运行的策划是否更改及控制情况？</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tc>
        <w:tc>
          <w:tcPr>
            <w:tcW w:w="960" w:type="dxa"/>
          </w:tcPr>
          <w:p>
            <w:pPr>
              <w:spacing w:line="360" w:lineRule="auto"/>
              <w:rPr>
                <w:rFonts w:asciiTheme="minorEastAsia" w:hAnsiTheme="minorEastAsia" w:eastAsiaTheme="minorEastAsia" w:cstheme="minorEastAsia"/>
                <w:i/>
                <w:iCs/>
                <w:szCs w:val="21"/>
              </w:rPr>
            </w:pPr>
            <w:r>
              <w:rPr>
                <w:rFonts w:hint="eastAsia" w:asciiTheme="minorEastAsia" w:hAnsiTheme="minorEastAsia" w:eastAsiaTheme="minorEastAsia" w:cstheme="minorEastAsia"/>
                <w:b/>
                <w:bCs/>
                <w:szCs w:val="21"/>
              </w:rPr>
              <w:t>Q8</w:t>
            </w:r>
            <w:r>
              <w:rPr>
                <w:rFonts w:hint="eastAsia" w:asciiTheme="minorEastAsia" w:hAnsiTheme="minorEastAsia" w:eastAsiaTheme="minorEastAsia" w:cstheme="minorEastAsia"/>
                <w:b/>
                <w:szCs w:val="21"/>
              </w:rPr>
              <w:t>.1</w:t>
            </w:r>
          </w:p>
          <w:p>
            <w:pPr>
              <w:pStyle w:val="8"/>
              <w:spacing w:line="360" w:lineRule="auto"/>
              <w:rPr>
                <w:rFonts w:asciiTheme="minorEastAsia" w:hAnsiTheme="minorEastAsia" w:eastAsiaTheme="minorEastAsia" w:cstheme="minorEastAsia"/>
                <w:i/>
                <w:iCs/>
                <w:color w:val="auto"/>
                <w:sz w:val="21"/>
                <w:szCs w:val="21"/>
                <w:u w:val="wave"/>
              </w:rPr>
            </w:pPr>
          </w:p>
          <w:p>
            <w:pPr>
              <w:pStyle w:val="8"/>
              <w:spacing w:line="360" w:lineRule="auto"/>
              <w:rPr>
                <w:rFonts w:asciiTheme="minorEastAsia" w:hAnsiTheme="minorEastAsia" w:eastAsiaTheme="minorEastAsia" w:cstheme="minorEastAsia"/>
                <w:i/>
                <w:iCs/>
                <w:color w:val="auto"/>
                <w:sz w:val="21"/>
                <w:szCs w:val="21"/>
                <w:u w:val="wave"/>
              </w:rPr>
            </w:pPr>
          </w:p>
          <w:p>
            <w:pPr>
              <w:pStyle w:val="8"/>
              <w:spacing w:line="360" w:lineRule="auto"/>
              <w:ind w:firstLine="0" w:firstLineChars="0"/>
              <w:rPr>
                <w:rFonts w:asciiTheme="minorEastAsia" w:hAnsiTheme="minorEastAsia" w:eastAsiaTheme="minorEastAsia" w:cstheme="minorEastAsia"/>
                <w:bCs/>
                <w:i/>
                <w:iCs/>
                <w:color w:val="auto"/>
                <w:sz w:val="21"/>
                <w:szCs w:val="21"/>
              </w:rPr>
            </w:pPr>
          </w:p>
          <w:p>
            <w:pPr>
              <w:pStyle w:val="8"/>
              <w:spacing w:line="360" w:lineRule="auto"/>
              <w:ind w:firstLine="0" w:firstLineChars="0"/>
              <w:rPr>
                <w:rFonts w:asciiTheme="minorEastAsia" w:hAnsiTheme="minorEastAsia" w:eastAsiaTheme="minorEastAsia" w:cstheme="minorEastAsia"/>
                <w:bCs/>
                <w:i/>
                <w:iCs/>
                <w:color w:val="auto"/>
                <w:sz w:val="21"/>
                <w:szCs w:val="21"/>
              </w:rPr>
            </w:pPr>
          </w:p>
          <w:p>
            <w:pPr>
              <w:spacing w:line="360" w:lineRule="auto"/>
              <w:rPr>
                <w:rFonts w:asciiTheme="minorEastAsia" w:hAnsiTheme="minorEastAsia" w:eastAsiaTheme="minorEastAsia" w:cstheme="minorEastAsia"/>
                <w:szCs w:val="21"/>
              </w:rPr>
            </w:pPr>
          </w:p>
        </w:tc>
        <w:tc>
          <w:tcPr>
            <w:tcW w:w="10738" w:type="dxa"/>
          </w:tcPr>
          <w:p>
            <w:pPr>
              <w:pStyle w:val="8"/>
              <w:numPr>
                <w:ilvl w:val="0"/>
                <w:numId w:val="1"/>
              </w:numPr>
              <w:spacing w:line="360" w:lineRule="auto"/>
              <w:ind w:firstLine="0" w:firstLineChars="0"/>
              <w:rPr>
                <w:rFonts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范围：</w:t>
            </w:r>
          </w:p>
          <w:p>
            <w:pPr>
              <w:rPr>
                <w:rFonts w:ascii="宋体" w:hAnsi="宋体"/>
                <w:szCs w:val="21"/>
              </w:rPr>
            </w:pPr>
            <w:r>
              <w:rPr>
                <w:rFonts w:hint="eastAsia" w:ascii="宋体" w:hAnsi="宋体"/>
                <w:szCs w:val="21"/>
              </w:rPr>
              <w:t>QMS: 资质范围内的自粘聚合物改性沥青防水卷材、弹性体改性沥青防水卷材的生产、销售</w:t>
            </w:r>
          </w:p>
          <w:p>
            <w:pPr>
              <w:rPr>
                <w:rFonts w:ascii="宋体" w:hAnsi="宋体"/>
                <w:szCs w:val="21"/>
              </w:rPr>
            </w:pPr>
            <w:r>
              <w:rPr>
                <w:rFonts w:hint="eastAsia" w:ascii="宋体" w:hAnsi="宋体"/>
                <w:szCs w:val="21"/>
              </w:rPr>
              <w:t>EMS: 资质范围内的自粘聚合物改性沥青防水卷材、弹性体改性沥青防水卷材的生产、销售及相关环境管理活动</w:t>
            </w:r>
          </w:p>
          <w:p>
            <w:pPr>
              <w:spacing w:line="360" w:lineRule="auto"/>
              <w:rPr>
                <w:rFonts w:ascii="宋体" w:hAnsi="宋体"/>
                <w:szCs w:val="21"/>
              </w:rPr>
            </w:pPr>
            <w:r>
              <w:rPr>
                <w:rFonts w:hint="eastAsia" w:ascii="宋体" w:hAnsi="宋体"/>
                <w:szCs w:val="21"/>
              </w:rPr>
              <w:t>OHSMS: 资质范围内的 自粘聚合物改性沥青防水卷材、弹性体改性沥青防水卷材的生产、销售及相关职业健康安全管理活动</w:t>
            </w:r>
          </w:p>
          <w:p>
            <w:p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2、管理方针：</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顾客至上、优质高效、全员环保、</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污染预防、节能降耗、保障健康、</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减少风险、遵规守法、持续改进。</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公司质量目标：</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1产品一次交验合格率100%</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2顾客满意度95%以上</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公司环境目标：</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生产中噪声、粉尘达标排放；</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公司职业健康安全目标：</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1 劳动保护用品及时发放，发放率为100％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2 预防职业病，病发率为零。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3安全事故零发生。</w:t>
            </w:r>
          </w:p>
          <w:p>
            <w:pPr>
              <w:numPr>
                <w:ilvl w:val="0"/>
                <w:numId w:val="2"/>
              </w:num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产品主要执行标准摘抄：</w:t>
            </w:r>
          </w:p>
          <w:p>
            <w:pPr>
              <w:pStyle w:val="19"/>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主席令第6号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中华人民共和国消防法</w:t>
            </w:r>
          </w:p>
          <w:p>
            <w:pPr>
              <w:pStyle w:val="19"/>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主席令第22号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中华人民共和国环境保护法</w:t>
            </w:r>
          </w:p>
          <w:p>
            <w:pPr>
              <w:pStyle w:val="19"/>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主席令第70号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中华人民共和国安全生产法</w:t>
            </w:r>
          </w:p>
          <w:p>
            <w:pPr>
              <w:pStyle w:val="19"/>
              <w:spacing w:line="360" w:lineRule="auto"/>
              <w:rPr>
                <w:rFonts w:asciiTheme="minorEastAsia" w:hAnsiTheme="minorEastAsia" w:eastAsiaTheme="minorEastAsia" w:cstheme="minorEastAsia"/>
                <w:szCs w:val="21"/>
              </w:rPr>
            </w:pPr>
            <w:r>
              <w:rPr>
                <w:rStyle w:val="22"/>
              </w:rPr>
              <w:t>中华人民共和国产品质量法</w:t>
            </w:r>
          </w:p>
          <w:p>
            <w:pPr>
              <w:pStyle w:val="19"/>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自粘聚合物改性沥青防水卷材、GB 23441-2009</w:t>
            </w:r>
          </w:p>
          <w:p>
            <w:pPr>
              <w:pStyle w:val="19"/>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弹性体改性沥青防水卷材的生产及销售GB18242-2008</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4、</w:t>
            </w:r>
            <w:r>
              <w:rPr>
                <w:rFonts w:hint="eastAsia" w:asciiTheme="minorEastAsia" w:hAnsiTheme="minorEastAsia" w:eastAsiaTheme="minorEastAsia" w:cstheme="minorEastAsia"/>
                <w:b/>
                <w:bCs/>
                <w:szCs w:val="21"/>
              </w:rPr>
              <w:t>销售流程</w:t>
            </w:r>
            <w:r>
              <w:rPr>
                <w:rFonts w:hint="eastAsia" w:asciiTheme="minorEastAsia" w:hAnsiTheme="minorEastAsia" w:eastAsiaTheme="minorEastAsia" w:cstheme="minorEastAsia"/>
                <w:bCs/>
                <w:szCs w:val="21"/>
              </w:rPr>
              <w:t>：顾客沟通—合同评审—合同/订单签订—产品采购—产品验证—交付—售后服务</w:t>
            </w:r>
          </w:p>
          <w:p>
            <w:pPr>
              <w:spacing w:line="360" w:lineRule="auto"/>
              <w:jc w:val="left"/>
              <w:rPr>
                <w:rFonts w:asciiTheme="minorEastAsia" w:hAnsiTheme="minorEastAsia" w:eastAsiaTheme="minorEastAsia" w:cstheme="minorEastAsia"/>
                <w:b/>
                <w:szCs w:val="21"/>
              </w:rPr>
            </w:pPr>
            <w:r>
              <w:rPr>
                <w:rFonts w:hint="eastAsia" w:ascii="宋体" w:hAnsi="宋体"/>
                <w:b/>
                <w:color w:val="000000"/>
                <w:sz w:val="20"/>
              </w:rPr>
              <w:t>5、</w:t>
            </w:r>
            <w:r>
              <w:rPr>
                <w:rFonts w:hint="eastAsia" w:asciiTheme="minorEastAsia" w:hAnsiTheme="minorEastAsia" w:eastAsiaTheme="minorEastAsia" w:cstheme="minorEastAsia"/>
                <w:b/>
                <w:szCs w:val="21"/>
              </w:rPr>
              <w:t>产品生产工艺</w:t>
            </w:r>
            <w:r>
              <w:rPr>
                <w:rFonts w:asciiTheme="minorEastAsia" w:hAnsiTheme="minorEastAsia" w:eastAsiaTheme="minorEastAsia" w:cstheme="minorEastAsia"/>
                <w:b/>
                <w:szCs w:val="21"/>
              </w:rPr>
              <w:t>/</w:t>
            </w:r>
            <w:r>
              <w:rPr>
                <w:rFonts w:hint="eastAsia" w:asciiTheme="minorEastAsia" w:hAnsiTheme="minorEastAsia" w:eastAsiaTheme="minorEastAsia" w:cstheme="minorEastAsia"/>
                <w:b/>
                <w:szCs w:val="21"/>
              </w:rPr>
              <w:t>服务提供流程为：</w:t>
            </w:r>
          </w:p>
          <w:p>
            <w:pPr>
              <w:pStyle w:val="19"/>
              <w:spacing w:line="360" w:lineRule="auto"/>
              <w:ind w:firstLine="230" w:firstLineChars="100"/>
              <w:jc w:val="left"/>
              <w:rPr>
                <w:rFonts w:ascii="宋体" w:hAnsi="宋体"/>
                <w:szCs w:val="21"/>
              </w:rPr>
            </w:pPr>
            <w:r>
              <w:rPr>
                <w:rStyle w:val="22"/>
                <w:rFonts w:hint="eastAsia"/>
              </w:rPr>
              <w:t>（1）</w:t>
            </w:r>
            <w:r>
              <w:rPr>
                <w:rFonts w:hint="eastAsia" w:ascii="宋体" w:hAnsi="宋体"/>
                <w:szCs w:val="21"/>
              </w:rPr>
              <w:t>弹性体改性沥青防水卷材生产工艺：</w:t>
            </w:r>
          </w:p>
          <w:p>
            <w:pPr>
              <w:pStyle w:val="19"/>
              <w:spacing w:line="360" w:lineRule="auto"/>
              <w:ind w:firstLine="230" w:firstLineChars="100"/>
              <w:jc w:val="left"/>
              <w:rPr>
                <w:rStyle w:val="22"/>
              </w:rPr>
            </w:pPr>
            <w:r>
              <w:rPr>
                <w:rStyle w:val="22"/>
                <w:rFonts w:hint="eastAsia"/>
              </w:rPr>
              <w:t> SBS加内助剂、外添加剂、熔融、机械旋转剪切、脱水沥青（配料）*→（升温加热）相混反应*→填料→ PY胎体展开传热干燥→ 浸 涂 → 风冷（水冷）→隔离膜导向平整 → 双面复合成型 →轻滚压定型 →循环介质冷却→ 卷材面自然干燥→ 计量包装 →入库存放 →成品检测  </w:t>
            </w:r>
          </w:p>
          <w:p>
            <w:pPr>
              <w:pStyle w:val="19"/>
              <w:spacing w:line="360" w:lineRule="auto"/>
              <w:ind w:firstLine="230" w:firstLineChars="100"/>
              <w:jc w:val="left"/>
              <w:rPr>
                <w:rFonts w:ascii="宋体" w:hAnsi="宋体"/>
                <w:szCs w:val="21"/>
              </w:rPr>
            </w:pPr>
            <w:r>
              <w:rPr>
                <w:rStyle w:val="22"/>
                <w:rFonts w:hint="eastAsia"/>
              </w:rPr>
              <w:t>（2）</w:t>
            </w:r>
            <w:r>
              <w:rPr>
                <w:rFonts w:hint="eastAsia" w:ascii="宋体" w:hAnsi="宋体"/>
                <w:szCs w:val="21"/>
              </w:rPr>
              <w:t>自粘聚合物改性沥青防水卷材生产工艺</w:t>
            </w:r>
          </w:p>
          <w:p>
            <w:pPr>
              <w:pStyle w:val="19"/>
              <w:spacing w:line="360" w:lineRule="auto"/>
              <w:ind w:firstLine="230" w:firstLineChars="100"/>
              <w:jc w:val="left"/>
              <w:rPr>
                <w:rStyle w:val="22"/>
              </w:rPr>
            </w:pPr>
            <w:r>
              <w:rPr>
                <w:rStyle w:val="22"/>
                <w:rFonts w:hint="eastAsia"/>
              </w:rPr>
              <w:t xml:space="preserve"> 橡胶粉加内助剂，外添加剂 熔融 机械旋转剪切 脱水沥青（配料）*→（升温加热）相混反应*→ 外添加剂 →复合胎体→PY胎体 展开传热干燥开传热→浸 涂 →微强制散热 →隔离膜导向平整→ 双面复合成型 →轻滚压定型→ 循环介质冷却 →卷材面自然干燥→ 计量包装→ 入库存放→ 成品检测</w:t>
            </w:r>
          </w:p>
          <w:p>
            <w:pPr>
              <w:spacing w:line="360" w:lineRule="auto"/>
              <w:ind w:firstLine="315" w:firstLineChars="150"/>
              <w:jc w:val="left"/>
            </w:pPr>
            <w:r>
              <w:rPr>
                <w:rFonts w:hint="eastAsia" w:asciiTheme="minorEastAsia" w:hAnsiTheme="minorEastAsia" w:eastAsiaTheme="minorEastAsia" w:cstheme="minorEastAsia"/>
                <w:szCs w:val="21"/>
              </w:rPr>
              <w:t xml:space="preserve">  其中:</w:t>
            </w:r>
            <w:r>
              <w:rPr>
                <w:rStyle w:val="22"/>
                <w:rFonts w:hint="eastAsia"/>
              </w:rPr>
              <w:t xml:space="preserve"> 配料和（升温加热）相混反应为关键过程（同时也是特殊过程），制定了《</w:t>
            </w:r>
            <w:r>
              <w:rPr>
                <w:rFonts w:hint="eastAsia" w:ascii="宋体" w:hAnsi="宋体"/>
                <w:szCs w:val="21"/>
              </w:rPr>
              <w:t>自粘聚合物改性沥青防水卷材配料 操作工艺规程</w:t>
            </w:r>
            <w:r>
              <w:rPr>
                <w:rStyle w:val="22"/>
                <w:rFonts w:hint="eastAsia"/>
              </w:rPr>
              <w:t>》和《</w:t>
            </w:r>
            <w:r>
              <w:rPr>
                <w:rFonts w:hint="eastAsia" w:ascii="宋体" w:hAnsi="宋体"/>
                <w:szCs w:val="21"/>
              </w:rPr>
              <w:t>弹性体（SBS）改性沥青防水卷材配料 操作工艺规程</w:t>
            </w:r>
            <w:r>
              <w:rPr>
                <w:rStyle w:val="22"/>
                <w:rFonts w:hint="eastAsia"/>
              </w:rPr>
              <w:t>》，并进行了过程确认，设计了《质量控制点原始记录》，</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6、为实现产品质量目标配置了相应人员</w:t>
            </w:r>
            <w:r>
              <w:rPr>
                <w:rFonts w:hint="eastAsia" w:asciiTheme="minorEastAsia" w:hAnsiTheme="minorEastAsia" w:eastAsiaTheme="minorEastAsia" w:cstheme="minorEastAsia"/>
                <w:szCs w:val="21"/>
              </w:rPr>
              <w:t>（如</w:t>
            </w:r>
            <w:r>
              <w:rPr>
                <w:rFonts w:hint="eastAsia" w:ascii="宋体" w:hAnsi="宋体"/>
                <w:szCs w:val="21"/>
              </w:rPr>
              <w:t>自粘聚合物改性沥青防水卷材、弹性体改性沥青防水卷材的生产、销售</w:t>
            </w:r>
            <w:r>
              <w:rPr>
                <w:rFonts w:hint="eastAsia" w:asciiTheme="minorEastAsia" w:hAnsiTheme="minorEastAsia" w:eastAsiaTheme="minorEastAsia" w:cstheme="minorEastAsia"/>
                <w:szCs w:val="21"/>
              </w:rPr>
              <w:t>服务人员：技术人员均为大专或以上学历、试验室人员持有操作作业证书、上岗前经过岗前培训，销售人员及生产人员均经过专业培训等)，</w:t>
            </w:r>
          </w:p>
          <w:p>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7、</w:t>
            </w:r>
            <w:r>
              <w:rPr>
                <w:rFonts w:hint="eastAsia" w:asciiTheme="minorEastAsia" w:hAnsiTheme="minorEastAsia" w:eastAsiaTheme="minorEastAsia" w:cstheme="minorEastAsia"/>
                <w:b/>
                <w:bCs/>
                <w:szCs w:val="21"/>
              </w:rPr>
              <w:t>生产设备</w:t>
            </w:r>
            <w:r>
              <w:rPr>
                <w:rFonts w:hint="eastAsia" w:asciiTheme="minorEastAsia" w:hAnsiTheme="minorEastAsia" w:eastAsiaTheme="minorEastAsia" w:cstheme="minorEastAsia"/>
                <w:bCs/>
                <w:szCs w:val="21"/>
              </w:rPr>
              <w:t>：沥青储罐4台、配料罐8台、燃气导热油炉1500KW 1台、卷材生产线（最大线速40m/min）2台、磨粉机YGM75   2套等。</w:t>
            </w:r>
          </w:p>
          <w:p>
            <w:pPr>
              <w:spacing w:line="360" w:lineRule="auto"/>
              <w:ind w:firstLine="420" w:firstLineChars="20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特种设备：燃气导热油炉1500KW 1台</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监测资源：沥青针入度仪LZRD-3A、电热鼓风干燥箱</w:t>
            </w:r>
            <w:r>
              <w:rPr>
                <w:rFonts w:hint="eastAsia" w:asciiTheme="minorEastAsia" w:hAnsiTheme="minorEastAsia" w:eastAsiaTheme="minorEastAsia" w:cstheme="minorEastAsia"/>
                <w:bCs/>
                <w:szCs w:val="21"/>
              </w:rPr>
              <w:tab/>
            </w:r>
            <w:r>
              <w:rPr>
                <w:rFonts w:hint="eastAsia" w:asciiTheme="minorEastAsia" w:hAnsiTheme="minorEastAsia" w:eastAsiaTheme="minorEastAsia" w:cstheme="minorEastAsia"/>
                <w:bCs/>
                <w:szCs w:val="21"/>
              </w:rPr>
              <w:t>101-1A、微机控制拉力试验机WDW-L5KN、测厚仪HD-10、电子天平TD20001A、千分尺0-25MM沥青软化点测定LRHD-IV、沥青延伸度仪</w:t>
            </w:r>
            <w:r>
              <w:rPr>
                <w:rFonts w:hint="eastAsia" w:asciiTheme="minorEastAsia" w:hAnsiTheme="minorEastAsia" w:eastAsiaTheme="minorEastAsia" w:cstheme="minorEastAsia"/>
                <w:bCs/>
                <w:szCs w:val="21"/>
              </w:rPr>
              <w:tab/>
            </w:r>
            <w:r>
              <w:rPr>
                <w:rFonts w:hint="eastAsia" w:asciiTheme="minorEastAsia" w:hAnsiTheme="minorEastAsia" w:eastAsiaTheme="minorEastAsia" w:cstheme="minorEastAsia"/>
                <w:bCs/>
                <w:szCs w:val="21"/>
              </w:rPr>
              <w:t>SY-150等，提供检定合格证书（见附件）。</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办公设备：电脑、打印机、传真机、电话等。提供维修保养计划及记录，满足要求。</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环保设施包括：垃圾桶、消防设施；</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安全设施配置主要有：标识牌、灭火器、消防器材等，生产部定期维护与保养。</w:t>
            </w:r>
          </w:p>
          <w:p>
            <w:pPr>
              <w:pStyle w:val="21"/>
              <w:numPr>
                <w:ilvl w:val="0"/>
                <w:numId w:val="3"/>
              </w:numPr>
              <w:spacing w:line="360" w:lineRule="auto"/>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编制了相应的作业文件：</w:t>
            </w:r>
          </w:p>
          <w:p>
            <w:pPr>
              <w:numPr>
                <w:ilvl w:val="3"/>
                <w:numId w:val="0"/>
              </w:numPr>
              <w:spacing w:line="360" w:lineRule="auto"/>
              <w:ind w:left="420" w:leftChars="200"/>
              <w:rPr>
                <w:rStyle w:val="22"/>
              </w:rPr>
            </w:pPr>
            <w:r>
              <w:rPr>
                <w:rStyle w:val="22"/>
                <w:rFonts w:hint="eastAsia"/>
              </w:rPr>
              <w:t>《</w:t>
            </w:r>
            <w:r>
              <w:rPr>
                <w:rFonts w:hint="eastAsia" w:ascii="宋体" w:hAnsi="宋体"/>
                <w:szCs w:val="21"/>
              </w:rPr>
              <w:t>自粘聚合物改性沥青防水卷材配料 操作工艺规程</w:t>
            </w:r>
            <w:r>
              <w:rPr>
                <w:rStyle w:val="22"/>
                <w:rFonts w:hint="eastAsia"/>
              </w:rPr>
              <w:t>》</w:t>
            </w:r>
          </w:p>
          <w:p>
            <w:pPr>
              <w:numPr>
                <w:ilvl w:val="3"/>
                <w:numId w:val="0"/>
              </w:numPr>
              <w:spacing w:line="360" w:lineRule="auto"/>
              <w:ind w:left="420" w:leftChars="200"/>
              <w:rPr>
                <w:rFonts w:asciiTheme="minorEastAsia" w:hAnsiTheme="minorEastAsia" w:eastAsiaTheme="minorEastAsia" w:cstheme="minorEastAsia"/>
                <w:szCs w:val="21"/>
              </w:rPr>
            </w:pPr>
            <w:r>
              <w:rPr>
                <w:rStyle w:val="22"/>
                <w:rFonts w:hint="eastAsia"/>
              </w:rPr>
              <w:t>《</w:t>
            </w:r>
            <w:r>
              <w:rPr>
                <w:rFonts w:hint="eastAsia" w:ascii="宋体" w:hAnsi="宋体"/>
                <w:szCs w:val="21"/>
              </w:rPr>
              <w:t>弹性体（SBS）改性沥青防水卷材配料 操作工艺规程</w:t>
            </w:r>
            <w:r>
              <w:rPr>
                <w:rStyle w:val="22"/>
                <w:rFonts w:hint="eastAsia"/>
              </w:rPr>
              <w:t>》，</w:t>
            </w:r>
          </w:p>
          <w:p>
            <w:pPr>
              <w:numPr>
                <w:ilvl w:val="3"/>
                <w:numId w:val="0"/>
              </w:num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《浸涂、覆膜操作指导书》</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《燃气导热油炉1500KW 操作指导书</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szCs w:val="21"/>
              </w:rPr>
              <w:t>》</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《自动成卷操作指导书》</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《检验指导书》</w:t>
            </w:r>
          </w:p>
          <w:p>
            <w:pPr>
              <w:numPr>
                <w:ilvl w:val="3"/>
                <w:numId w:val="0"/>
              </w:numPr>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《检测设备和计量器具管理制度》等</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9.接收准则:依据验收交付规范、合同、相关标准、用户要求等进行接收，以保证交付的产品满足要求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10、记录：策划有委托设计合同、内部审核检查表、首末次会议记录、特殊过程确认记录、生产过程记录、检验记录等，基本满足产品实现需要。</w:t>
            </w:r>
          </w:p>
          <w:p>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目前策划基本充分。</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服务提供的控制，所涉及的产品范围？资质和相关要求？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抽查某些过程，判断组织是否经过策划，确保上述每一种产品的控制过程处于受控状态？</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(1)该过程是否能获得表述产品特性的息如质量计划、生产计划、产品合同、图纸等？</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(2)该过程是否获得相应的作业指导文件，抽查文件内容是否充分、正确？如规范、工艺文件等。</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（3）监视和测量资源的适宜情况？精度及检定情况？</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实施监视和测量的活动是否适宜，是否满足准则的要求？</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（4）基础设施和运行质量的适宜情况？</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人员配备是否适宜，是否满足资格要求？</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（5）对生产和服务策划能力的确认和定期确认情况？</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是否采取措施防止人为错误？</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（6）查特殊过程的控制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（7）实施放行、交付和交付后活动？</w:t>
            </w: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p>
            <w:pPr>
              <w:spacing w:line="360" w:lineRule="auto"/>
              <w:rPr>
                <w:rFonts w:asciiTheme="minorEastAsia" w:hAnsiTheme="minorEastAsia" w:eastAsiaTheme="minorEastAsia" w:cstheme="minorEastAsia"/>
                <w:szCs w:val="21"/>
              </w:rPr>
            </w:pPr>
          </w:p>
        </w:tc>
        <w:tc>
          <w:tcPr>
            <w:tcW w:w="9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8.5.1</w:t>
            </w:r>
          </w:p>
        </w:tc>
        <w:tc>
          <w:tcPr>
            <w:tcW w:w="10738" w:type="dxa"/>
          </w:tcPr>
          <w:p>
            <w:p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生产部负责人：杨斌 。公司质量手册规定：生产部是生产和服务过程控制的归口管理部门，负责生产和服务过程控制监督和指导，作业指导书的提供，并负责生产所需的设备资源；负责过程设备和工作环境、生产安全、标识和可追溯性、产品防护、不合格品管理、产品检验与放行、计量仪器与设备的管理以及交付后活动的管理和控制</w:t>
            </w:r>
          </w:p>
          <w:p>
            <w:pPr>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1、</w:t>
            </w:r>
            <w:r>
              <w:rPr>
                <w:rFonts w:hint="eastAsia" w:asciiTheme="minorEastAsia" w:hAnsiTheme="minorEastAsia" w:eastAsiaTheme="minorEastAsia" w:cstheme="minorEastAsia"/>
                <w:szCs w:val="21"/>
              </w:rPr>
              <w:t>（1）查20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11</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12</w:t>
            </w:r>
            <w:r>
              <w:rPr>
                <w:rFonts w:hint="eastAsia" w:asciiTheme="minorEastAsia" w:hAnsiTheme="minorEastAsia" w:eastAsiaTheme="minorEastAsia" w:cstheme="minorEastAsia"/>
                <w:szCs w:val="21"/>
              </w:rPr>
              <w:t>月生产任务计划任务，包括：数量、日期等。销售任务单等，生产部下发。同时查到了下发的物料配比（称重）、生产作业指导书和质量检验指导书。</w:t>
            </w:r>
          </w:p>
          <w:p>
            <w:p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提供的质量特性文件见8.1条款。  </w:t>
            </w:r>
          </w:p>
          <w:p>
            <w:pPr>
              <w:numPr>
                <w:ilvl w:val="0"/>
                <w:numId w:val="4"/>
              </w:num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车间现场观察：</w:t>
            </w:r>
          </w:p>
          <w:p>
            <w:pPr>
              <w:spacing w:line="360" w:lineRule="auto"/>
              <w:ind w:firstLine="315" w:firstLineChars="1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分别与</w:t>
            </w:r>
            <w:r>
              <w:rPr>
                <w:rFonts w:hint="eastAsia" w:asciiTheme="minorEastAsia" w:hAnsiTheme="minorEastAsia" w:eastAsiaTheme="minorEastAsia" w:cstheme="minorEastAsia"/>
                <w:bCs/>
                <w:szCs w:val="21"/>
              </w:rPr>
              <w:t>卷材生产线、磨粉机、配料罐</w:t>
            </w:r>
            <w:r>
              <w:rPr>
                <w:rFonts w:hint="eastAsia" w:asciiTheme="minorEastAsia" w:hAnsiTheme="minorEastAsia" w:eastAsiaTheme="minorEastAsia" w:cstheme="minorEastAsia"/>
                <w:szCs w:val="21"/>
              </w:rPr>
              <w:t>操作者严定华、胡永文、刘晟军、陈国增交谈，操作工熟悉操作流程，操作手法娴熟，同时现场提供了作业指导书等；符合要求。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市场调研、确定顾客的需求、确定产品的规格、性能、数量、送交采购、采购、根据销售部送交的产品信息和采购流程选择和评价供应商、确定供应商、将采购信息传达给供方、供应供货、对采购产品进行验证、验证合格后入库；库房：保管将合格产品进行登记入帐、进行必要的防护；销售：与客户进行沟通、将库房内的产品交付顾客、并提产品质量证明材料及其它售后服务条款、经顾客对产品进行确认、完成一次销售；</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生产过程和最终检验规程，规定了检验项目、检验要求、质量记录等要求。 以上文件均为有效受控文件，并按其实施组织生产过程控制。</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（4）公司制定有：基础设施和工作环境控制程序规定了设备管理要求、设备的保养、设备的检修等内容。主要设备日常生产中能够保证质量和效率，配备的设备是适宜的。</w:t>
            </w:r>
          </w:p>
          <w:p>
            <w:pPr>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“监视和测量设备台账”，包括</w:t>
            </w:r>
            <w:r>
              <w:rPr>
                <w:rFonts w:hint="eastAsia" w:asciiTheme="minorEastAsia" w:hAnsiTheme="minorEastAsia" w:eastAsiaTheme="minorEastAsia" w:cstheme="minorEastAsia"/>
                <w:bCs/>
                <w:szCs w:val="21"/>
              </w:rPr>
              <w:t>沥青针入度仪LZRD-3A、电热鼓风干燥箱</w:t>
            </w:r>
            <w:r>
              <w:rPr>
                <w:rFonts w:hint="eastAsia" w:asciiTheme="minorEastAsia" w:hAnsiTheme="minorEastAsia" w:eastAsiaTheme="minorEastAsia" w:cstheme="minorEastAsia"/>
                <w:bCs/>
                <w:szCs w:val="21"/>
              </w:rPr>
              <w:tab/>
            </w:r>
            <w:r>
              <w:rPr>
                <w:rFonts w:hint="eastAsia" w:asciiTheme="minorEastAsia" w:hAnsiTheme="minorEastAsia" w:eastAsiaTheme="minorEastAsia" w:cstheme="minorEastAsia"/>
                <w:bCs/>
                <w:szCs w:val="21"/>
              </w:rPr>
              <w:t>101-1A、微机控制拉力试验机WDW-L5KN、测厚仪HD-10、电子天平TD20001A、温度表、千分尺0-25MM沥青软化点测定LRHD-IV、沥青延伸度仪SY-150、等</w:t>
            </w:r>
            <w:r>
              <w:rPr>
                <w:rFonts w:hint="eastAsia" w:asciiTheme="minorEastAsia" w:hAnsiTheme="minorEastAsia" w:eastAsiaTheme="minorEastAsia" w:cstheme="minorEastAsia"/>
                <w:szCs w:val="21"/>
              </w:rPr>
              <w:t>。根据重要程度和检测频次，每年周检一次，精度等附合要求，基本适宜。</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（5）见证：设备维修记录，</w:t>
            </w:r>
          </w:p>
          <w:p>
            <w:pPr>
              <w:spacing w:line="360"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w:t>
            </w:r>
            <w:r>
              <w:rPr>
                <w:rFonts w:hint="eastAsia" w:asciiTheme="minorEastAsia" w:hAnsiTheme="minorEastAsia" w:eastAsiaTheme="minorEastAsia" w:cstheme="minorEastAsia"/>
                <w:bCs/>
                <w:szCs w:val="21"/>
              </w:rPr>
              <w:t>沥青储罐、配料罐、燃气导热油炉、卷材生产线、磨粉机等</w:t>
            </w:r>
            <w:r>
              <w:rPr>
                <w:rFonts w:hint="eastAsia" w:asciiTheme="minorEastAsia" w:hAnsiTheme="minorEastAsia" w:eastAsiaTheme="minorEastAsia" w:cstheme="minorEastAsia"/>
                <w:szCs w:val="21"/>
              </w:rPr>
              <w:t>按计划进行了维护，保养内容、保养记录等内容齐全。</w:t>
            </w:r>
          </w:p>
          <w:p>
            <w:pPr>
              <w:pStyle w:val="3"/>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机械类的重点做好特殊过程管控、仪器仪表类的关键过程为调试重点做好流量、位置等的调试指标；销售重点做好业务洽谈（谈话的方式方法内容等）。 </w:t>
            </w:r>
          </w:p>
          <w:p>
            <w:pPr>
              <w:spacing w:line="360" w:lineRule="auto"/>
              <w:rPr>
                <w:rStyle w:val="22"/>
              </w:rPr>
            </w:pPr>
            <w:r>
              <w:rPr>
                <w:rFonts w:hint="eastAsia" w:asciiTheme="minorEastAsia" w:hAnsiTheme="minorEastAsia" w:eastAsiaTheme="minorEastAsia" w:cstheme="minorEastAsia"/>
                <w:b/>
                <w:szCs w:val="21"/>
              </w:rPr>
              <w:t>（6）</w:t>
            </w:r>
            <w:r>
              <w:rPr>
                <w:rFonts w:hint="eastAsia" w:asciiTheme="minorEastAsia" w:hAnsiTheme="minorEastAsia" w:eastAsiaTheme="minorEastAsia" w:cstheme="minorEastAsia"/>
                <w:b/>
                <w:bCs/>
                <w:szCs w:val="21"/>
              </w:rPr>
              <w:t>关键过程</w:t>
            </w:r>
            <w:r>
              <w:rPr>
                <w:rFonts w:hint="eastAsia" w:asciiTheme="minorEastAsia" w:hAnsiTheme="minorEastAsia" w:eastAsiaTheme="minorEastAsia" w:cstheme="minorEastAsia"/>
                <w:bCs/>
                <w:szCs w:val="21"/>
              </w:rPr>
              <w:t>：</w:t>
            </w:r>
            <w:r>
              <w:rPr>
                <w:rStyle w:val="22"/>
                <w:rFonts w:hint="eastAsia"/>
              </w:rPr>
              <w:t>配料和（升温加热）相混反应为关键过程（同时也是特殊过程），制定了《</w:t>
            </w:r>
            <w:r>
              <w:rPr>
                <w:rFonts w:hint="eastAsia" w:ascii="宋体" w:hAnsi="宋体"/>
                <w:szCs w:val="21"/>
              </w:rPr>
              <w:t>自粘聚合物改性沥青防水卷材配料 操作工艺规程</w:t>
            </w:r>
            <w:r>
              <w:rPr>
                <w:rStyle w:val="22"/>
                <w:rFonts w:hint="eastAsia"/>
              </w:rPr>
              <w:t>》和《</w:t>
            </w:r>
            <w:r>
              <w:rPr>
                <w:rFonts w:hint="eastAsia" w:ascii="宋体" w:hAnsi="宋体"/>
                <w:szCs w:val="21"/>
              </w:rPr>
              <w:t>弹性体（SBS）改性沥青防水卷材配料 操作工艺规程</w:t>
            </w:r>
            <w:r>
              <w:rPr>
                <w:rStyle w:val="22"/>
                <w:rFonts w:hint="eastAsia"/>
              </w:rPr>
              <w:t>》，并进行了过程确认，设计了《质量控制点原始记录》</w:t>
            </w:r>
          </w:p>
          <w:p>
            <w:pPr>
              <w:spacing w:line="360" w:lineRule="auto"/>
              <w:ind w:firstLine="210" w:firstLineChars="100"/>
              <w:rPr>
                <w:rStyle w:val="22"/>
              </w:rPr>
            </w:pPr>
            <w:r>
              <w:rPr>
                <w:rStyle w:val="22"/>
                <w:rFonts w:hint="eastAsia"/>
              </w:rPr>
              <w:t>抽查1《</w:t>
            </w:r>
            <w:r>
              <w:rPr>
                <w:rFonts w:hint="eastAsia" w:asciiTheme="minorEastAsia" w:hAnsiTheme="minorEastAsia" w:eastAsiaTheme="minorEastAsia" w:cstheme="minorEastAsia"/>
                <w:szCs w:val="21"/>
              </w:rPr>
              <w:t>弹性体改性沥青防水卷材</w:t>
            </w:r>
            <w:r>
              <w:rPr>
                <w:rFonts w:hint="eastAsia" w:ascii="宋体" w:hAnsi="宋体"/>
                <w:szCs w:val="21"/>
              </w:rPr>
              <w:t>配料 操作工艺规程</w:t>
            </w:r>
            <w:r>
              <w:rPr>
                <w:rStyle w:val="22"/>
                <w:rFonts w:hint="eastAsia"/>
              </w:rPr>
              <w:t>》，规定：</w:t>
            </w:r>
          </w:p>
          <w:p>
            <w:pPr>
              <w:spacing w:line="360" w:lineRule="auto"/>
              <w:ind w:firstLine="420" w:firstLineChars="200"/>
              <w:rPr>
                <w:rStyle w:val="22"/>
              </w:rPr>
            </w:pPr>
            <w:r>
              <w:rPr>
                <w:rStyle w:val="22"/>
                <w:rFonts w:hint="eastAsia"/>
              </w:rPr>
              <w:t xml:space="preserve">   配料配方：70#沥青:</w:t>
            </w:r>
            <w:r>
              <w:rPr>
                <w:rStyle w:val="22"/>
              </w:rPr>
              <w:t>50.00%、</w:t>
            </w:r>
            <w:r>
              <w:rPr>
                <w:rStyle w:val="22"/>
                <w:rFonts w:hint="eastAsia"/>
              </w:rPr>
              <w:t>环烷橡胶油:10.00%、</w:t>
            </w:r>
            <w:r>
              <w:rPr>
                <w:rStyle w:val="22"/>
              </w:rPr>
              <w:t>SBR:10.00%、</w:t>
            </w:r>
            <w:r>
              <w:rPr>
                <w:rStyle w:val="22"/>
                <w:rFonts w:hint="eastAsia"/>
              </w:rPr>
              <w:t>石油树脂:4.00%、滑石粉:26.00%，打开输出阀门,让其自行流入搅拌罐内,打开搅拌罐导热油阀，启动烟尘净化系统的抽烟机,搅拌20min后加入70#沥青,搅拌方式为先点动,后连续搅拌,避免水份剧烈蒸发；导热油升温、预热:打开当天要使用的所有搅拌罐、沥青储存罐导热油阀门,启动导热油循环泵,检查循环油压力是否正常:开启导热油炉燃烧器于自动状态,设定出口油温230℃,进口温度210℃,预热时间1.5h ，加入配料再搅拌30min,经质检人员检验合格后输送至卷材成型生产线。</w:t>
            </w:r>
          </w:p>
          <w:p>
            <w:pPr>
              <w:spacing w:line="360" w:lineRule="auto"/>
              <w:ind w:firstLine="210" w:firstLineChars="100"/>
              <w:rPr>
                <w:rStyle w:val="22"/>
              </w:rPr>
            </w:pPr>
            <w:r>
              <w:rPr>
                <w:rStyle w:val="22"/>
                <w:rFonts w:hint="eastAsia"/>
              </w:rPr>
              <w:t>抽查2《</w:t>
            </w:r>
            <w:r>
              <w:rPr>
                <w:rFonts w:hint="eastAsia" w:ascii="宋体" w:hAnsi="宋体"/>
                <w:szCs w:val="21"/>
              </w:rPr>
              <w:t>自粘聚合物改性沥青防水卷材配料 操作工艺规程</w:t>
            </w:r>
            <w:r>
              <w:rPr>
                <w:rStyle w:val="22"/>
                <w:rFonts w:hint="eastAsia"/>
              </w:rPr>
              <w:t>》，规定：</w:t>
            </w:r>
          </w:p>
          <w:p>
            <w:pPr>
              <w:spacing w:line="360" w:lineRule="auto"/>
              <w:ind w:firstLine="420" w:firstLineChars="200"/>
            </w:pPr>
            <w:r>
              <w:rPr>
                <w:rStyle w:val="22"/>
                <w:rFonts w:hint="eastAsia"/>
              </w:rPr>
              <w:t xml:space="preserve"> 配料配方：70#沥青:47.23%、10#沥青:13.23%、</w:t>
            </w:r>
            <w:r>
              <w:rPr>
                <w:rStyle w:val="22"/>
              </w:rPr>
              <w:t>SBS:8.32%、</w:t>
            </w:r>
            <w:r>
              <w:rPr>
                <w:rStyle w:val="22"/>
                <w:rFonts w:hint="eastAsia"/>
              </w:rPr>
              <w:t>机油:8.50%、滑石粉:22.72%，打开输出阀门,让其自行流入搅拌罐内,打开搅拌罐导热油阀，启动烟尘净化系统的抽烟机,搅拌20min后加入70#沥青,搅拌方式为先点动,后连续搅拌,避免水份剧烈蒸发；导热油升温、预热:打开当天要使用的所有搅拌罐、沥青储存罐导热油阀门,启动导热油循环泵,检查循环油压力是否正常:开启导热油炉燃烧器于自动状态,设定出口油温230℃,进口温度210℃,预热时间1.5h ；加入配料，同时在1#(2#)罐内注入所需量的10#沥青，将胶体磨间隙调至最大,把3#(4#)罐内胶料转入1#(2#)罐内，经质检人员检验合格后输送至卷材成型生产线。</w:t>
            </w:r>
          </w:p>
          <w:p>
            <w:pPr>
              <w:spacing w:line="360" w:lineRule="auto"/>
              <w:ind w:firstLine="207" w:firstLineChars="98"/>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关键过程确认记录</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查到“过程能力确认表”1：过程名称：</w:t>
            </w:r>
            <w:r>
              <w:rPr>
                <w:rStyle w:val="22"/>
                <w:rFonts w:hint="eastAsia"/>
              </w:rPr>
              <w:t>配料</w:t>
            </w:r>
            <w:r>
              <w:rPr>
                <w:rFonts w:hint="eastAsia" w:asciiTheme="minorEastAsia" w:hAnsiTheme="minorEastAsia" w:eastAsiaTheme="minorEastAsia" w:cstheme="minorEastAsia"/>
                <w:szCs w:val="21"/>
              </w:rPr>
              <w:t>， 确认时间20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.1.2，包括内容：确认项目、确认内容（要求）、确 认 结 果、人员能力和操作技能等；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查到《过程能力确认表》2：过程名称：</w:t>
            </w:r>
            <w:r>
              <w:rPr>
                <w:rStyle w:val="22"/>
                <w:rFonts w:hint="eastAsia"/>
              </w:rPr>
              <w:t>（升温加热）相混反应</w:t>
            </w:r>
            <w:r>
              <w:rPr>
                <w:rFonts w:hint="eastAsia" w:asciiTheme="minorEastAsia" w:hAnsiTheme="minorEastAsia" w:eastAsiaTheme="minorEastAsia" w:cstheme="minorEastAsia"/>
                <w:szCs w:val="21"/>
              </w:rPr>
              <w:t>， 确认时间20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.1.2，包括内容：确认项目、确认内容（要求）、确 认 结 果、人员能力和操作技能等。</w:t>
            </w:r>
          </w:p>
          <w:p>
            <w:pPr>
              <w:spacing w:line="360" w:lineRule="auto"/>
              <w:ind w:firstLine="207" w:firstLineChars="98"/>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关键过程的</w:t>
            </w:r>
            <w:r>
              <w:rPr>
                <w:rFonts w:hint="eastAsia" w:asciiTheme="minorEastAsia" w:hAnsiTheme="minorEastAsia" w:eastAsiaTheme="minorEastAsia" w:cstheme="minorEastAsia"/>
                <w:b/>
                <w:szCs w:val="21"/>
              </w:rPr>
              <w:t>质量控制点原始记录：</w:t>
            </w:r>
            <w:r>
              <w:rPr>
                <w:rFonts w:hint="eastAsia" w:asciiTheme="minorEastAsia" w:hAnsiTheme="minorEastAsia" w:eastAsiaTheme="minorEastAsia" w:cstheme="minorEastAsia"/>
                <w:szCs w:val="21"/>
              </w:rPr>
              <w:t>见8.6检验条款</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（7）查到：《进货检验记录》、《过程检验记录》、《成品检验报告》和检测报告包括各工序检测记录和成品检测项目内容及要求等。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部门每月组织对生产部工艺纪律的执行情况进行1-2次集中检查，平时随时由主管人员进行现场巡视和检查，对发现的问题对责任者进行处罚，保证了操作者严格按照工艺文件的要求和作业指导书进行操作和过程控制。</w:t>
            </w:r>
          </w:p>
          <w:p>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产品交付到客户后，由</w:t>
            </w:r>
            <w:r>
              <w:rPr>
                <w:rFonts w:hint="eastAsia" w:asciiTheme="minorEastAsia" w:hAnsiTheme="minorEastAsia" w:eastAsiaTheme="minorEastAsia" w:cstheme="minorEastAsia"/>
                <w:bCs/>
                <w:szCs w:val="21"/>
              </w:rPr>
              <w:t>供销部归口负责，生产部接到供销部的销售合同，进行生产计划，班组成员在投料前提前半小时按车间主任下达的“生产任务通知单”，凭“领料单”到仓库领料,“领料单”上须注明要成型产品名称、型号</w:t>
            </w:r>
            <w:r>
              <w:rPr>
                <w:rFonts w:hint="eastAsia" w:asciiTheme="minorEastAsia" w:hAnsiTheme="minorEastAsia" w:eastAsiaTheme="minorEastAsia" w:cstheme="minorEastAsia"/>
                <w:kern w:val="0"/>
                <w:szCs w:val="21"/>
              </w:rPr>
              <w:t>、原材料名称、型号、数量。经仓管员签字确认。</w:t>
            </w:r>
          </w:p>
          <w:p>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进厂/过程/出货检验记录详见8.6条款。</w:t>
            </w:r>
          </w:p>
          <w:p>
            <w:pPr>
              <w:spacing w:line="360" w:lineRule="auto"/>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产品交付后，</w:t>
            </w:r>
            <w:r>
              <w:rPr>
                <w:rFonts w:hint="eastAsia" w:asciiTheme="minorEastAsia" w:hAnsiTheme="minorEastAsia" w:eastAsiaTheme="minorEastAsia" w:cstheme="minorEastAsia"/>
                <w:kern w:val="0"/>
                <w:szCs w:val="21"/>
                <w:lang w:val="en-US" w:eastAsia="zh-CN"/>
              </w:rPr>
              <w:t>供销</w:t>
            </w:r>
            <w:r>
              <w:rPr>
                <w:rFonts w:hint="eastAsia" w:asciiTheme="minorEastAsia" w:hAnsiTheme="minorEastAsia" w:eastAsiaTheme="minorEastAsia" w:cstheme="minorEastAsia"/>
                <w:kern w:val="0"/>
                <w:szCs w:val="21"/>
              </w:rPr>
              <w:t>部为归口部门，详见</w:t>
            </w:r>
            <w:r>
              <w:rPr>
                <w:rFonts w:hint="eastAsia" w:asciiTheme="minorEastAsia" w:hAnsiTheme="minorEastAsia" w:eastAsiaTheme="minorEastAsia" w:cstheme="minorEastAsia"/>
                <w:kern w:val="0"/>
                <w:szCs w:val="21"/>
                <w:lang w:val="en-US" w:eastAsia="zh-CN"/>
              </w:rPr>
              <w:t>供销</w:t>
            </w:r>
            <w:r>
              <w:rPr>
                <w:rFonts w:hint="eastAsia" w:asciiTheme="minorEastAsia" w:hAnsiTheme="minorEastAsia" w:eastAsiaTheme="minorEastAsia" w:cstheme="minorEastAsia"/>
                <w:kern w:val="0"/>
                <w:szCs w:val="21"/>
              </w:rPr>
              <w:t>部检查表。</w:t>
            </w:r>
          </w:p>
          <w:p>
            <w:pP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160" w:type="dxa"/>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产品的服务和放行</w:t>
            </w:r>
          </w:p>
        </w:tc>
        <w:tc>
          <w:tcPr>
            <w:tcW w:w="960" w:type="dxa"/>
          </w:tcPr>
          <w:p>
            <w:pPr>
              <w:pStyle w:val="8"/>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Q8.6</w:t>
            </w:r>
          </w:p>
          <w:p>
            <w:pPr>
              <w:pStyle w:val="8"/>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S 8.1.4</w:t>
            </w:r>
          </w:p>
        </w:tc>
        <w:tc>
          <w:tcPr>
            <w:tcW w:w="10738" w:type="dxa"/>
          </w:tcPr>
          <w:p>
            <w:pPr>
              <w:spacing w:line="360" w:lineRule="auto"/>
              <w:ind w:firstLine="210" w:firstLineChars="100"/>
              <w:rPr>
                <w:rFonts w:ascii="宋体" w:hAnsi="宋体" w:cs="宋体"/>
                <w:szCs w:val="21"/>
              </w:rPr>
            </w:pPr>
            <w:r>
              <w:rPr>
                <w:rFonts w:hint="eastAsia" w:ascii="宋体" w:hAnsi="宋体" w:cs="宋体"/>
                <w:szCs w:val="21"/>
              </w:rPr>
              <w:t>公司制定有：过程/产品服务的监视和测量控制程序对工作程序、检验分类、采购产品、半成品、成品检验和检验记录等做出了明确规定。生产部根据产品实现过程监视和测量策划的结果，按体系文件、公司规定确定的监视和测量点进行监视和测量作好监测记录，实施进货、过程和最终（成品）检验，并保持记录。见证：1、原材料进货检验规程、过程和最终（成品）检验规程，规定了检验项目、工作程序、记录要求、最终检验项目及标准等。以上文件，由生产部结合不同产品制定并执行。</w:t>
            </w:r>
          </w:p>
          <w:p>
            <w:pPr>
              <w:spacing w:line="360" w:lineRule="auto"/>
              <w:rPr>
                <w:rFonts w:ascii="宋体" w:hAnsi="宋体" w:cs="宋体"/>
                <w:szCs w:val="21"/>
              </w:rPr>
            </w:pPr>
            <w:r>
              <w:rPr>
                <w:rFonts w:hint="eastAsia" w:ascii="宋体" w:hAnsi="宋体" w:cs="宋体"/>
                <w:szCs w:val="21"/>
              </w:rPr>
              <w:t>查到：姜螈、苏一凡的“员工销售服务质量考核表”，对公司的销售；考核项目及考核结果：</w:t>
            </w:r>
          </w:p>
          <w:p>
            <w:pPr>
              <w:spacing w:line="360" w:lineRule="auto"/>
              <w:rPr>
                <w:rFonts w:ascii="宋体" w:hAnsi="宋体" w:cs="宋体"/>
                <w:szCs w:val="21"/>
              </w:rPr>
            </w:pPr>
            <w:r>
              <w:rPr>
                <w:rFonts w:hint="eastAsia" w:ascii="宋体" w:hAnsi="宋体" w:cs="宋体"/>
                <w:szCs w:val="21"/>
              </w:rPr>
              <w:t>仪表是否符合要求： 经检查，仪表整洁，着装符合公司规定要求，标识明确。</w:t>
            </w:r>
          </w:p>
          <w:p>
            <w:pPr>
              <w:spacing w:line="360" w:lineRule="auto"/>
              <w:rPr>
                <w:rFonts w:ascii="宋体" w:hAnsi="宋体" w:cs="宋体"/>
                <w:szCs w:val="21"/>
              </w:rPr>
            </w:pPr>
            <w:r>
              <w:rPr>
                <w:rFonts w:hint="eastAsia" w:ascii="宋体" w:hAnsi="宋体" w:cs="宋体"/>
                <w:szCs w:val="21"/>
              </w:rPr>
              <w:t>态度是否符合要求： 该人在工作时以微笑待人，态度符合要求。</w:t>
            </w:r>
          </w:p>
          <w:p>
            <w:pPr>
              <w:spacing w:line="360" w:lineRule="auto"/>
              <w:rPr>
                <w:rFonts w:ascii="宋体" w:hAnsi="宋体" w:cs="宋体"/>
                <w:szCs w:val="21"/>
              </w:rPr>
            </w:pPr>
            <w:r>
              <w:rPr>
                <w:rFonts w:hint="eastAsia" w:ascii="宋体" w:hAnsi="宋体" w:cs="宋体"/>
                <w:szCs w:val="21"/>
              </w:rPr>
              <w:t>语言是否符合要求： 检查时，该工作人员用语文明，热情。</w:t>
            </w:r>
          </w:p>
          <w:p>
            <w:pPr>
              <w:spacing w:line="360" w:lineRule="auto"/>
              <w:rPr>
                <w:rFonts w:ascii="宋体" w:hAnsi="宋体" w:cs="宋体"/>
                <w:szCs w:val="21"/>
              </w:rPr>
            </w:pPr>
            <w:r>
              <w:rPr>
                <w:rFonts w:hint="eastAsia" w:ascii="宋体" w:hAnsi="宋体" w:cs="宋体"/>
                <w:szCs w:val="21"/>
              </w:rPr>
              <w:t>服务是否及时周到： 经检查，服务热情、及时、周到。</w:t>
            </w:r>
          </w:p>
          <w:p>
            <w:pPr>
              <w:spacing w:line="360" w:lineRule="auto"/>
              <w:rPr>
                <w:rFonts w:ascii="宋体" w:hAnsi="宋体" w:cs="宋体"/>
                <w:szCs w:val="21"/>
              </w:rPr>
            </w:pPr>
            <w:r>
              <w:rPr>
                <w:rFonts w:hint="eastAsia" w:ascii="宋体" w:hAnsi="宋体" w:cs="宋体"/>
                <w:szCs w:val="21"/>
              </w:rPr>
              <w:t>无有顾客投诉：没有发生顾客投诉或顾客不满意现象。考核人（签字）：周杨海 ，2019年6月20日</w:t>
            </w:r>
          </w:p>
          <w:p>
            <w:pPr>
              <w:numPr>
                <w:ilvl w:val="0"/>
                <w:numId w:val="5"/>
              </w:numPr>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查进货检验记录:</w:t>
            </w:r>
            <w:r>
              <w:t>--</w:t>
            </w:r>
            <w:r>
              <w:rPr>
                <w:rFonts w:hint="eastAsia"/>
                <w:b/>
                <w:bCs/>
              </w:rPr>
              <w:t>抽查进货检验记录和库房入库单</w:t>
            </w:r>
          </w:p>
          <w:p>
            <w:pPr>
              <w:tabs>
                <w:tab w:val="left" w:pos="3408"/>
              </w:tabs>
              <w:ind w:left="-315" w:leftChars="-150" w:firstLine="630" w:firstLineChars="300"/>
              <w:rPr>
                <w:rFonts w:ascii="宋体" w:hAnsi="宋体"/>
              </w:rPr>
            </w:pPr>
            <w:r>
              <w:rPr>
                <w:rFonts w:hint="eastAsia" w:ascii="宋体" w:hAnsi="宋体"/>
              </w:rPr>
              <w:t>聚酯胎基：5月15日，49万米    6月21日，48万米</w:t>
            </w:r>
          </w:p>
          <w:p>
            <w:pPr>
              <w:tabs>
                <w:tab w:val="left" w:pos="3408"/>
              </w:tabs>
              <w:ind w:left="-315" w:leftChars="-150" w:firstLine="630" w:firstLineChars="300"/>
              <w:rPr>
                <w:rFonts w:ascii="宋体" w:hAnsi="宋体"/>
              </w:rPr>
            </w:pPr>
            <w:r>
              <w:rPr>
                <w:rFonts w:hint="eastAsia" w:ascii="宋体" w:hAnsi="宋体"/>
              </w:rPr>
              <w:t>滑石粉：5月17日，365吨     6月23日，327吨</w:t>
            </w:r>
          </w:p>
          <w:p>
            <w:pPr>
              <w:tabs>
                <w:tab w:val="left" w:pos="3408"/>
              </w:tabs>
              <w:ind w:left="-315" w:leftChars="-150" w:firstLine="630" w:firstLineChars="300"/>
              <w:rPr>
                <w:rFonts w:ascii="宋体" w:hAnsi="宋体"/>
              </w:rPr>
            </w:pPr>
            <w:r>
              <w:rPr>
                <w:rFonts w:hint="eastAsia" w:ascii="宋体" w:hAnsi="宋体"/>
              </w:rPr>
              <w:t>10#沥青：     7月3日，31.4吨</w:t>
            </w:r>
          </w:p>
          <w:p>
            <w:pPr>
              <w:tabs>
                <w:tab w:val="left" w:pos="3408"/>
              </w:tabs>
              <w:ind w:left="-315" w:leftChars="-150" w:firstLine="630" w:firstLineChars="300"/>
              <w:rPr>
                <w:rFonts w:ascii="宋体" w:hAnsi="宋体"/>
              </w:rPr>
            </w:pPr>
            <w:r>
              <w:rPr>
                <w:rFonts w:hint="eastAsia" w:ascii="宋体" w:hAnsi="宋体"/>
              </w:rPr>
              <w:t>70#沥青：     7月1日，31吨</w:t>
            </w:r>
          </w:p>
          <w:p>
            <w:pPr>
              <w:tabs>
                <w:tab w:val="left" w:pos="3408"/>
              </w:tabs>
              <w:ind w:left="-315" w:leftChars="-150" w:firstLine="630" w:firstLineChars="300"/>
              <w:rPr>
                <w:rFonts w:ascii="宋体" w:hAnsi="宋体"/>
              </w:rPr>
            </w:pPr>
            <w:r>
              <w:rPr>
                <w:rFonts w:ascii="宋体" w:hAnsi="宋体"/>
              </w:rPr>
              <w:t>SBS</w:t>
            </w:r>
            <w:r>
              <w:rPr>
                <w:rFonts w:hint="eastAsia" w:ascii="宋体" w:hAnsi="宋体"/>
              </w:rPr>
              <w:t>：         6月25日，227吨</w:t>
            </w:r>
          </w:p>
          <w:p>
            <w:pPr>
              <w:tabs>
                <w:tab w:val="left" w:pos="3408"/>
              </w:tabs>
              <w:ind w:left="-315" w:leftChars="-150" w:firstLine="630" w:firstLineChars="300"/>
              <w:rPr>
                <w:rFonts w:ascii="宋体" w:hAnsi="宋体"/>
              </w:rPr>
            </w:pPr>
            <w:r>
              <w:rPr>
                <w:rFonts w:ascii="宋体" w:hAnsi="宋体"/>
              </w:rPr>
              <w:t>SBR：</w:t>
            </w:r>
            <w:r>
              <w:rPr>
                <w:rFonts w:hint="eastAsia" w:ascii="宋体" w:hAnsi="宋体"/>
              </w:rPr>
              <w:t xml:space="preserve">         6月25日，322吨</w:t>
            </w:r>
          </w:p>
          <w:p>
            <w:pPr>
              <w:tabs>
                <w:tab w:val="left" w:pos="3408"/>
              </w:tabs>
              <w:ind w:left="-315" w:leftChars="-150" w:firstLine="630" w:firstLineChars="300"/>
              <w:rPr>
                <w:rFonts w:ascii="宋体" w:hAnsi="宋体"/>
              </w:rPr>
            </w:pPr>
            <w:r>
              <w:rPr>
                <w:rFonts w:hint="eastAsia" w:ascii="宋体" w:hAnsi="宋体"/>
              </w:rPr>
              <w:t>环烷橡胶油    6月24日，110吨</w:t>
            </w:r>
          </w:p>
          <w:p>
            <w:pPr>
              <w:tabs>
                <w:tab w:val="left" w:pos="3408"/>
              </w:tabs>
              <w:ind w:left="-315" w:leftChars="-150" w:firstLine="630" w:firstLineChars="300"/>
              <w:rPr>
                <w:rFonts w:ascii="宋体" w:hAnsi="宋体"/>
              </w:rPr>
            </w:pPr>
            <w:r>
              <w:rPr>
                <w:rFonts w:hint="eastAsia" w:ascii="宋体" w:hAnsi="宋体"/>
              </w:rPr>
              <w:t>石油树脂      6月24日，110吨</w:t>
            </w:r>
          </w:p>
          <w:p>
            <w:pPr>
              <w:tabs>
                <w:tab w:val="left" w:pos="3408"/>
              </w:tabs>
              <w:ind w:left="-315" w:leftChars="-150" w:firstLine="630" w:firstLineChars="300"/>
              <w:rPr>
                <w:rFonts w:ascii="宋体" w:hAnsi="宋体"/>
              </w:rPr>
            </w:pPr>
            <w:r>
              <w:rPr>
                <w:rFonts w:hint="eastAsia" w:ascii="宋体" w:hAnsi="宋体"/>
              </w:rPr>
              <w:t>检验员：苏一帆     库房负责人张正松。</w:t>
            </w:r>
          </w:p>
          <w:p>
            <w:pPr>
              <w:ind w:left="-315" w:leftChars="-150" w:firstLine="632" w:firstLineChars="300"/>
              <w:rPr>
                <w:b/>
                <w:bCs/>
              </w:rPr>
            </w:pPr>
          </w:p>
          <w:p>
            <w:pPr>
              <w:ind w:left="-315" w:leftChars="-150" w:firstLine="632" w:firstLineChars="300"/>
              <w:rPr>
                <w:rFonts w:ascii="宋体"/>
              </w:rPr>
            </w:pPr>
            <w:r>
              <w:rPr>
                <w:rFonts w:hint="eastAsia"/>
                <w:b/>
                <w:bCs/>
              </w:rPr>
              <w:t>抽</w:t>
            </w:r>
            <w:r>
              <w:rPr>
                <w:b/>
                <w:bCs/>
              </w:rPr>
              <w:t>1</w:t>
            </w:r>
            <w:r>
              <w:rPr>
                <w:rFonts w:hint="eastAsia"/>
                <w:b/>
                <w:bCs/>
              </w:rPr>
              <w:t>：</w:t>
            </w:r>
            <w:r>
              <w:rPr>
                <w:rFonts w:hint="eastAsia" w:ascii="宋体" w:hAnsi="宋体"/>
              </w:rPr>
              <w:t>原材料</w:t>
            </w:r>
            <w:r>
              <w:rPr>
                <w:rFonts w:ascii="宋体" w:hAnsi="宋体"/>
              </w:rPr>
              <w:t>(</w:t>
            </w:r>
            <w:r>
              <w:rPr>
                <w:rFonts w:hint="eastAsia" w:ascii="宋体" w:hAnsi="宋体"/>
              </w:rPr>
              <w:t>外购件</w:t>
            </w:r>
            <w:r>
              <w:rPr>
                <w:rFonts w:ascii="宋体" w:hAnsi="宋体"/>
              </w:rPr>
              <w:t xml:space="preserve">) </w:t>
            </w:r>
            <w:r>
              <w:rPr>
                <w:rFonts w:hint="eastAsia" w:ascii="宋体" w:hAnsi="宋体"/>
              </w:rPr>
              <w:t>验证</w:t>
            </w:r>
            <w:r>
              <w:rPr>
                <w:rFonts w:ascii="宋体" w:hAnsi="宋体"/>
              </w:rPr>
              <w:t>/</w:t>
            </w:r>
            <w:r>
              <w:rPr>
                <w:rFonts w:hint="eastAsia" w:ascii="宋体" w:hAnsi="宋体"/>
              </w:rPr>
              <w:t>检验记录</w:t>
            </w:r>
          </w:p>
          <w:p>
            <w:pPr>
              <w:ind w:left="-315" w:leftChars="-150" w:firstLine="630" w:firstLineChars="300"/>
              <w:rPr>
                <w:rFonts w:ascii="宋体"/>
              </w:rPr>
            </w:pPr>
            <w:r>
              <w:rPr>
                <w:rFonts w:hint="eastAsia" w:ascii="宋体" w:hAnsi="宋体"/>
              </w:rPr>
              <w:t>产品名称</w:t>
            </w:r>
            <w:r>
              <w:rPr>
                <w:rFonts w:ascii="宋体"/>
              </w:rPr>
              <w:t>：</w:t>
            </w:r>
            <w:r>
              <w:rPr>
                <w:rFonts w:hint="eastAsia" w:ascii="宋体" w:hAnsi="宋体"/>
              </w:rPr>
              <w:t xml:space="preserve">聚酯胎基  </w:t>
            </w:r>
            <w:r>
              <w:rPr>
                <w:rFonts w:hint="eastAsia" w:ascii="宋体"/>
              </w:rPr>
              <w:t xml:space="preserve">  </w:t>
            </w:r>
            <w:r>
              <w:rPr>
                <w:rFonts w:hint="eastAsia" w:ascii="宋体" w:hAnsi="宋体"/>
              </w:rPr>
              <w:t>生产厂家：</w:t>
            </w:r>
            <w:r>
              <w:rPr>
                <w:rFonts w:hint="eastAsia" w:ascii="宋体"/>
                <w:szCs w:val="21"/>
              </w:rPr>
              <w:t>荆州市金禹防水材料有限公司</w:t>
            </w:r>
            <w:r>
              <w:rPr>
                <w:rFonts w:ascii="宋体"/>
              </w:rPr>
              <w:tab/>
            </w:r>
            <w:r>
              <w:rPr>
                <w:rFonts w:hint="eastAsia" w:ascii="宋体"/>
              </w:rPr>
              <w:t>检验员：</w:t>
            </w:r>
            <w:r>
              <w:rPr>
                <w:rFonts w:hint="eastAsia" w:ascii="宋体" w:hAnsi="宋体"/>
              </w:rPr>
              <w:t>苏一帆</w:t>
            </w:r>
          </w:p>
          <w:p>
            <w:pPr>
              <w:ind w:left="-315" w:leftChars="-150" w:firstLine="630" w:firstLineChars="300"/>
              <w:rPr>
                <w:rFonts w:ascii="宋体" w:hAnsi="宋体"/>
              </w:rPr>
            </w:pPr>
            <w:r>
              <w:drawing>
                <wp:anchor distT="0" distB="0" distL="114300" distR="114300" simplePos="0" relativeHeight="251683840" behindDoc="0" locked="0" layoutInCell="1" allowOverlap="1">
                  <wp:simplePos x="0" y="0"/>
                  <wp:positionH relativeFrom="column">
                    <wp:posOffset>1044575</wp:posOffset>
                  </wp:positionH>
                  <wp:positionV relativeFrom="paragraph">
                    <wp:posOffset>59690</wp:posOffset>
                  </wp:positionV>
                  <wp:extent cx="813435" cy="1165225"/>
                  <wp:effectExtent l="0" t="0" r="12065" b="3175"/>
                  <wp:wrapNone/>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6"/>
                          <a:stretch>
                            <a:fillRect/>
                          </a:stretch>
                        </pic:blipFill>
                        <pic:spPr>
                          <a:xfrm>
                            <a:off x="0" y="0"/>
                            <a:ext cx="813435" cy="1165225"/>
                          </a:xfrm>
                          <a:prstGeom prst="rect">
                            <a:avLst/>
                          </a:prstGeom>
                          <a:noFill/>
                          <a:ln>
                            <a:noFill/>
                          </a:ln>
                        </pic:spPr>
                      </pic:pic>
                    </a:graphicData>
                  </a:graphic>
                </wp:anchor>
              </w:drawing>
            </w:r>
            <w:r>
              <w:drawing>
                <wp:anchor distT="0" distB="0" distL="114300" distR="114300" simplePos="0" relativeHeight="251682816" behindDoc="0" locked="0" layoutInCell="1" allowOverlap="1">
                  <wp:simplePos x="0" y="0"/>
                  <wp:positionH relativeFrom="column">
                    <wp:posOffset>111125</wp:posOffset>
                  </wp:positionH>
                  <wp:positionV relativeFrom="paragraph">
                    <wp:posOffset>24130</wp:posOffset>
                  </wp:positionV>
                  <wp:extent cx="857885" cy="1188085"/>
                  <wp:effectExtent l="0" t="0" r="5715" b="5715"/>
                  <wp:wrapNone/>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7"/>
                          <a:stretch>
                            <a:fillRect/>
                          </a:stretch>
                        </pic:blipFill>
                        <pic:spPr>
                          <a:xfrm>
                            <a:off x="0" y="0"/>
                            <a:ext cx="857885" cy="1188085"/>
                          </a:xfrm>
                          <a:prstGeom prst="rect">
                            <a:avLst/>
                          </a:prstGeom>
                          <a:noFill/>
                          <a:ln>
                            <a:noFill/>
                          </a:ln>
                        </pic:spPr>
                      </pic:pic>
                    </a:graphicData>
                  </a:graphic>
                </wp:anchor>
              </w:drawing>
            </w:r>
            <w:r>
              <w:rPr>
                <w:rFonts w:hint="eastAsia" w:ascii="宋体" w:hAnsi="宋体"/>
              </w:rPr>
              <w:t xml:space="preserve">      </w:t>
            </w:r>
          </w:p>
          <w:p>
            <w:pPr>
              <w:ind w:left="-315" w:leftChars="-150" w:firstLine="630" w:firstLineChars="300"/>
              <w:rPr>
                <w:rFonts w:ascii="宋体" w:hAnsi="宋体"/>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ascii="宋体"/>
              </w:rPr>
            </w:pPr>
            <w:r>
              <w:rPr>
                <w:rFonts w:hint="eastAsia"/>
                <w:b/>
                <w:bCs/>
              </w:rPr>
              <w:t>抽</w:t>
            </w:r>
            <w:r>
              <w:rPr>
                <w:b/>
                <w:bCs/>
              </w:rPr>
              <w:t>2</w:t>
            </w:r>
            <w:r>
              <w:rPr>
                <w:rFonts w:hint="eastAsia"/>
                <w:b/>
                <w:bCs/>
              </w:rPr>
              <w:t>：</w:t>
            </w:r>
            <w:r>
              <w:rPr>
                <w:rFonts w:hint="eastAsia" w:ascii="宋体" w:hAnsi="宋体"/>
              </w:rPr>
              <w:t>原材料</w:t>
            </w:r>
            <w:r>
              <w:rPr>
                <w:rFonts w:ascii="宋体" w:hAnsi="宋体"/>
              </w:rPr>
              <w:t>(</w:t>
            </w:r>
            <w:r>
              <w:rPr>
                <w:rFonts w:hint="eastAsia" w:ascii="宋体" w:hAnsi="宋体"/>
              </w:rPr>
              <w:t>外购件</w:t>
            </w:r>
            <w:r>
              <w:rPr>
                <w:rFonts w:ascii="宋体" w:hAnsi="宋体"/>
              </w:rPr>
              <w:t xml:space="preserve">) </w:t>
            </w:r>
            <w:r>
              <w:rPr>
                <w:rFonts w:hint="eastAsia" w:ascii="宋体" w:hAnsi="宋体"/>
              </w:rPr>
              <w:t>验证</w:t>
            </w:r>
            <w:r>
              <w:rPr>
                <w:rFonts w:ascii="宋体" w:hAnsi="宋体"/>
              </w:rPr>
              <w:t>/</w:t>
            </w:r>
            <w:r>
              <w:rPr>
                <w:rFonts w:hint="eastAsia" w:ascii="宋体" w:hAnsi="宋体"/>
              </w:rPr>
              <w:t>检验记录</w:t>
            </w:r>
          </w:p>
          <w:p>
            <w:pPr>
              <w:ind w:left="-315" w:leftChars="-150" w:firstLine="630" w:firstLineChars="300"/>
              <w:rPr>
                <w:rFonts w:ascii="宋体"/>
              </w:rPr>
            </w:pPr>
            <w:r>
              <w:rPr>
                <w:rFonts w:hint="eastAsia" w:ascii="宋体" w:hAnsi="宋体"/>
              </w:rPr>
              <w:t>产品名称</w:t>
            </w:r>
            <w:r>
              <w:rPr>
                <w:rFonts w:ascii="宋体"/>
              </w:rPr>
              <w:t>：</w:t>
            </w:r>
            <w:r>
              <w:rPr>
                <w:rFonts w:hint="eastAsia" w:ascii="宋体" w:hAnsi="宋体"/>
              </w:rPr>
              <w:t xml:space="preserve">滑石粉  </w:t>
            </w:r>
            <w:r>
              <w:rPr>
                <w:rFonts w:hint="eastAsia" w:ascii="宋体"/>
              </w:rPr>
              <w:t xml:space="preserve">  </w:t>
            </w:r>
            <w:r>
              <w:rPr>
                <w:rFonts w:hint="eastAsia" w:ascii="宋体" w:hAnsi="宋体"/>
              </w:rPr>
              <w:t>生产厂家：</w:t>
            </w:r>
            <w:r>
              <w:rPr>
                <w:rFonts w:hint="eastAsia" w:ascii="宋体"/>
                <w:szCs w:val="21"/>
              </w:rPr>
              <w:t xml:space="preserve">荆州区中保钙粉厂  </w:t>
            </w:r>
            <w:r>
              <w:rPr>
                <w:rFonts w:ascii="宋体"/>
              </w:rPr>
              <w:tab/>
            </w:r>
            <w:r>
              <w:rPr>
                <w:rFonts w:hint="eastAsia" w:ascii="宋体"/>
              </w:rPr>
              <w:t>检验员：</w:t>
            </w:r>
            <w:r>
              <w:rPr>
                <w:rFonts w:hint="eastAsia" w:ascii="宋体" w:hAnsi="宋体"/>
              </w:rPr>
              <w:t>苏一帆</w:t>
            </w:r>
          </w:p>
          <w:p>
            <w:pPr>
              <w:ind w:left="-315" w:leftChars="-150" w:firstLine="630" w:firstLineChars="300"/>
              <w:rPr>
                <w:rFonts w:hint="eastAsia" w:ascii="宋体" w:hAnsi="宋体"/>
              </w:rPr>
            </w:pPr>
            <w:r>
              <w:drawing>
                <wp:anchor distT="0" distB="0" distL="114300" distR="114300" simplePos="0" relativeHeight="251679744" behindDoc="0" locked="0" layoutInCell="1" allowOverlap="1">
                  <wp:simplePos x="0" y="0"/>
                  <wp:positionH relativeFrom="column">
                    <wp:posOffset>3502025</wp:posOffset>
                  </wp:positionH>
                  <wp:positionV relativeFrom="paragraph">
                    <wp:posOffset>110490</wp:posOffset>
                  </wp:positionV>
                  <wp:extent cx="1581150" cy="2019300"/>
                  <wp:effectExtent l="0" t="0" r="6350" b="0"/>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1581150" cy="2019300"/>
                          </a:xfrm>
                          <a:prstGeom prst="rect">
                            <a:avLst/>
                          </a:prstGeom>
                          <a:noFill/>
                          <a:ln>
                            <a:noFill/>
                          </a:ln>
                        </pic:spPr>
                      </pic:pic>
                    </a:graphicData>
                  </a:graphic>
                </wp:anchor>
              </w:drawing>
            </w:r>
            <w:r>
              <w:drawing>
                <wp:anchor distT="0" distB="0" distL="114300" distR="114300" simplePos="0" relativeHeight="251678720" behindDoc="0" locked="0" layoutInCell="1" allowOverlap="1">
                  <wp:simplePos x="0" y="0"/>
                  <wp:positionH relativeFrom="column">
                    <wp:posOffset>1851025</wp:posOffset>
                  </wp:positionH>
                  <wp:positionV relativeFrom="paragraph">
                    <wp:posOffset>128270</wp:posOffset>
                  </wp:positionV>
                  <wp:extent cx="1539875" cy="1991360"/>
                  <wp:effectExtent l="0" t="0" r="9525" b="254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1539875" cy="1991360"/>
                          </a:xfrm>
                          <a:prstGeom prst="rect">
                            <a:avLst/>
                          </a:prstGeom>
                          <a:noFill/>
                          <a:ln>
                            <a:noFill/>
                          </a:ln>
                        </pic:spPr>
                      </pic:pic>
                    </a:graphicData>
                  </a:graphic>
                </wp:anchor>
              </w:drawing>
            </w:r>
            <w:r>
              <w:drawing>
                <wp:anchor distT="0" distB="0" distL="114300" distR="114300" simplePos="0" relativeHeight="251677696" behindDoc="0" locked="0" layoutInCell="1" allowOverlap="1">
                  <wp:simplePos x="0" y="0"/>
                  <wp:positionH relativeFrom="column">
                    <wp:posOffset>41275</wp:posOffset>
                  </wp:positionH>
                  <wp:positionV relativeFrom="paragraph">
                    <wp:posOffset>146050</wp:posOffset>
                  </wp:positionV>
                  <wp:extent cx="1708150" cy="1987550"/>
                  <wp:effectExtent l="0" t="0" r="6350" b="635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1708150" cy="1987550"/>
                          </a:xfrm>
                          <a:prstGeom prst="rect">
                            <a:avLst/>
                          </a:prstGeom>
                          <a:noFill/>
                          <a:ln>
                            <a:noFill/>
                          </a:ln>
                        </pic:spPr>
                      </pic:pic>
                    </a:graphicData>
                  </a:graphic>
                </wp:anchor>
              </w:drawing>
            </w:r>
            <w:r>
              <w:rPr>
                <w:rFonts w:hint="eastAsia" w:ascii="宋体"/>
                <w:b/>
                <w:bCs/>
              </w:rPr>
              <w:t xml:space="preserve">      </w:t>
            </w:r>
            <w:r>
              <w:rPr>
                <w:rFonts w:hint="eastAsia" w:ascii="宋体" w:hAnsi="宋体"/>
              </w:rPr>
              <w:t xml:space="preserve">     </w:t>
            </w: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0" w:firstLineChars="300"/>
              <w:rPr>
                <w:rFonts w:hint="eastAsia" w:ascii="宋体" w:hAnsi="宋体"/>
              </w:rPr>
            </w:pPr>
          </w:p>
          <w:p>
            <w:pPr>
              <w:ind w:left="-315" w:leftChars="-150" w:firstLine="632" w:firstLineChars="300"/>
              <w:rPr>
                <w:rFonts w:ascii="宋体"/>
              </w:rPr>
            </w:pPr>
            <w:r>
              <w:rPr>
                <w:rFonts w:hint="eastAsia"/>
                <w:b/>
                <w:bCs/>
              </w:rPr>
              <w:t>抽</w:t>
            </w:r>
            <w:r>
              <w:rPr>
                <w:b/>
                <w:bCs/>
              </w:rPr>
              <w:t>3</w:t>
            </w:r>
            <w:r>
              <w:rPr>
                <w:rFonts w:hint="eastAsia"/>
                <w:b/>
                <w:bCs/>
              </w:rPr>
              <w:t>：</w:t>
            </w:r>
            <w:r>
              <w:rPr>
                <w:rFonts w:hint="eastAsia" w:ascii="宋体" w:hAnsi="宋体"/>
              </w:rPr>
              <w:t>原材料</w:t>
            </w:r>
            <w:r>
              <w:rPr>
                <w:rFonts w:ascii="宋体" w:hAnsi="宋体"/>
              </w:rPr>
              <w:t>(</w:t>
            </w:r>
            <w:r>
              <w:rPr>
                <w:rFonts w:hint="eastAsia" w:ascii="宋体" w:hAnsi="宋体"/>
              </w:rPr>
              <w:t>外购件</w:t>
            </w:r>
            <w:r>
              <w:rPr>
                <w:rFonts w:ascii="宋体" w:hAnsi="宋体"/>
              </w:rPr>
              <w:t xml:space="preserve">) </w:t>
            </w:r>
            <w:r>
              <w:rPr>
                <w:rFonts w:hint="eastAsia" w:ascii="宋体" w:hAnsi="宋体"/>
              </w:rPr>
              <w:t>验证</w:t>
            </w:r>
            <w:r>
              <w:rPr>
                <w:rFonts w:ascii="宋体" w:hAnsi="宋体"/>
              </w:rPr>
              <w:t>/</w:t>
            </w:r>
            <w:r>
              <w:rPr>
                <w:rFonts w:hint="eastAsia" w:ascii="宋体" w:hAnsi="宋体"/>
              </w:rPr>
              <w:t>检验记录</w:t>
            </w:r>
          </w:p>
          <w:p>
            <w:pPr>
              <w:ind w:left="-315" w:leftChars="-150" w:firstLine="630" w:firstLineChars="300"/>
              <w:rPr>
                <w:rFonts w:ascii="宋体"/>
              </w:rPr>
            </w:pPr>
            <w:r>
              <w:rPr>
                <w:rFonts w:hint="eastAsia" w:ascii="宋体" w:hAnsi="宋体"/>
              </w:rPr>
              <w:t>产品名称</w:t>
            </w:r>
            <w:r>
              <w:rPr>
                <w:rFonts w:ascii="宋体"/>
              </w:rPr>
              <w:t>：</w:t>
            </w:r>
            <w:r>
              <w:rPr>
                <w:rFonts w:hint="eastAsia" w:ascii="宋体" w:hAnsi="宋体"/>
              </w:rPr>
              <w:t xml:space="preserve">沥青   </w:t>
            </w:r>
            <w:r>
              <w:rPr>
                <w:rFonts w:hint="eastAsia" w:ascii="宋体"/>
              </w:rPr>
              <w:t xml:space="preserve">  </w:t>
            </w:r>
            <w:r>
              <w:rPr>
                <w:rFonts w:hint="eastAsia" w:ascii="宋体" w:hAnsi="宋体"/>
              </w:rPr>
              <w:t>生产厂家：</w:t>
            </w:r>
            <w:r>
              <w:rPr>
                <w:rFonts w:hint="eastAsia" w:ascii="宋体"/>
                <w:szCs w:val="21"/>
              </w:rPr>
              <w:t xml:space="preserve">西安石化  </w:t>
            </w:r>
            <w:r>
              <w:rPr>
                <w:rFonts w:ascii="宋体"/>
              </w:rPr>
              <w:tab/>
            </w:r>
            <w:r>
              <w:rPr>
                <w:rFonts w:hint="eastAsia" w:ascii="宋体"/>
              </w:rPr>
              <w:t>检验员：</w:t>
            </w:r>
            <w:r>
              <w:rPr>
                <w:rFonts w:hint="eastAsia" w:ascii="宋体" w:hAnsi="宋体"/>
              </w:rPr>
              <w:t>苏一帆</w:t>
            </w:r>
          </w:p>
          <w:p>
            <w:pPr>
              <w:jc w:val="left"/>
              <w:rPr>
                <w:rFonts w:ascii="宋体" w:hAnsi="宋体"/>
              </w:rPr>
            </w:pPr>
            <w:r>
              <w:drawing>
                <wp:anchor distT="0" distB="0" distL="114300" distR="114300" simplePos="0" relativeHeight="251681792" behindDoc="0" locked="0" layoutInCell="1" allowOverlap="1">
                  <wp:simplePos x="0" y="0"/>
                  <wp:positionH relativeFrom="column">
                    <wp:posOffset>2606675</wp:posOffset>
                  </wp:positionH>
                  <wp:positionV relativeFrom="paragraph">
                    <wp:posOffset>26035</wp:posOffset>
                  </wp:positionV>
                  <wp:extent cx="2115185" cy="1298575"/>
                  <wp:effectExtent l="0" t="0" r="5715" b="952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2115185" cy="1298575"/>
                          </a:xfrm>
                          <a:prstGeom prst="rect">
                            <a:avLst/>
                          </a:prstGeom>
                          <a:noFill/>
                          <a:ln>
                            <a:noFill/>
                          </a:ln>
                        </pic:spPr>
                      </pic:pic>
                    </a:graphicData>
                  </a:graphic>
                </wp:anchor>
              </w:drawing>
            </w:r>
            <w:r>
              <w:drawing>
                <wp:anchor distT="0" distB="0" distL="114300" distR="114300" simplePos="0" relativeHeight="251680768" behindDoc="0" locked="0" layoutInCell="1" allowOverlap="1">
                  <wp:simplePos x="0" y="0"/>
                  <wp:positionH relativeFrom="column">
                    <wp:posOffset>60325</wp:posOffset>
                  </wp:positionH>
                  <wp:positionV relativeFrom="paragraph">
                    <wp:posOffset>35560</wp:posOffset>
                  </wp:positionV>
                  <wp:extent cx="2257425" cy="1296670"/>
                  <wp:effectExtent l="0" t="0" r="3175" b="11430"/>
                  <wp:wrapNone/>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2257425" cy="1296670"/>
                          </a:xfrm>
                          <a:prstGeom prst="rect">
                            <a:avLst/>
                          </a:prstGeom>
                          <a:noFill/>
                          <a:ln>
                            <a:noFill/>
                          </a:ln>
                        </pic:spPr>
                      </pic:pic>
                    </a:graphicData>
                  </a:graphic>
                </wp:anchor>
              </w:drawing>
            </w: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ind w:left="-315" w:leftChars="-150" w:firstLine="632" w:firstLineChars="300"/>
              <w:rPr>
                <w:rFonts w:hint="eastAsia"/>
                <w:b/>
                <w:bCs/>
              </w:rPr>
            </w:pPr>
          </w:p>
          <w:p>
            <w:pPr>
              <w:rPr>
                <w:rFonts w:ascii="宋体"/>
              </w:rPr>
            </w:pPr>
            <w:r>
              <w:rPr>
                <w:rFonts w:hint="eastAsia"/>
                <w:b/>
                <w:bCs/>
              </w:rPr>
              <w:t>抽</w:t>
            </w:r>
            <w:r>
              <w:rPr>
                <w:b/>
                <w:bCs/>
              </w:rPr>
              <w:t>4</w:t>
            </w:r>
            <w:r>
              <w:rPr>
                <w:rFonts w:hint="eastAsia"/>
                <w:b/>
                <w:bCs/>
              </w:rPr>
              <w:t>：</w:t>
            </w:r>
            <w:r>
              <w:rPr>
                <w:rFonts w:hint="eastAsia" w:ascii="宋体" w:hAnsi="宋体"/>
              </w:rPr>
              <w:t>原材料</w:t>
            </w:r>
            <w:r>
              <w:rPr>
                <w:rFonts w:ascii="宋体" w:hAnsi="宋体"/>
              </w:rPr>
              <w:t>(</w:t>
            </w:r>
            <w:r>
              <w:rPr>
                <w:rFonts w:hint="eastAsia" w:ascii="宋体" w:hAnsi="宋体"/>
              </w:rPr>
              <w:t>外购件</w:t>
            </w:r>
            <w:r>
              <w:rPr>
                <w:rFonts w:ascii="宋体" w:hAnsi="宋体"/>
              </w:rPr>
              <w:t xml:space="preserve">) </w:t>
            </w:r>
            <w:r>
              <w:rPr>
                <w:rFonts w:hint="eastAsia" w:ascii="宋体" w:hAnsi="宋体"/>
              </w:rPr>
              <w:t>验证</w:t>
            </w:r>
            <w:r>
              <w:rPr>
                <w:rFonts w:ascii="宋体" w:hAnsi="宋体"/>
              </w:rPr>
              <w:t>/</w:t>
            </w:r>
            <w:r>
              <w:rPr>
                <w:rFonts w:hint="eastAsia" w:ascii="宋体" w:hAnsi="宋体"/>
              </w:rPr>
              <w:t>检验记录</w:t>
            </w:r>
          </w:p>
          <w:p>
            <w:pPr>
              <w:ind w:left="-315" w:leftChars="-150" w:firstLine="630" w:firstLineChars="300"/>
              <w:rPr>
                <w:rFonts w:ascii="宋体" w:hAnsi="宋体"/>
              </w:rPr>
            </w:pPr>
            <w:r>
              <w:rPr>
                <w:rFonts w:hint="eastAsia" w:ascii="宋体" w:hAnsi="宋体"/>
              </w:rPr>
              <w:t>产品名称</w:t>
            </w:r>
            <w:r>
              <w:rPr>
                <w:rFonts w:ascii="宋体"/>
              </w:rPr>
              <w:t>：</w:t>
            </w:r>
            <w:r>
              <w:rPr>
                <w:rFonts w:hint="eastAsia" w:ascii="宋体" w:hAnsi="宋体"/>
              </w:rPr>
              <w:t xml:space="preserve">SBS  </w:t>
            </w:r>
            <w:r>
              <w:rPr>
                <w:rFonts w:hint="eastAsia" w:ascii="宋体"/>
              </w:rPr>
              <w:t xml:space="preserve">  </w:t>
            </w:r>
            <w:r>
              <w:rPr>
                <w:rFonts w:hint="eastAsia" w:ascii="宋体" w:hAnsi="宋体"/>
              </w:rPr>
              <w:t>生产厂家：</w:t>
            </w:r>
            <w:r>
              <w:rPr>
                <w:rFonts w:hint="eastAsia" w:ascii="宋体"/>
                <w:szCs w:val="21"/>
              </w:rPr>
              <w:t xml:space="preserve">     </w:t>
            </w:r>
            <w:r>
              <w:rPr>
                <w:rFonts w:ascii="宋体"/>
              </w:rPr>
              <w:tab/>
            </w:r>
            <w:r>
              <w:rPr>
                <w:rFonts w:hint="eastAsia" w:ascii="宋体"/>
              </w:rPr>
              <w:t>检验员：</w:t>
            </w:r>
            <w:r>
              <w:rPr>
                <w:rFonts w:hint="eastAsia" w:ascii="宋体" w:hAnsi="宋体"/>
              </w:rPr>
              <w:t>苏一帆</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57"/>
              <w:gridCol w:w="3257"/>
              <w:gridCol w:w="32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70" w:hRule="atLeast"/>
              </w:trPr>
              <w:tc>
                <w:tcPr>
                  <w:tcW w:w="3257" w:type="dxa"/>
                </w:tcPr>
                <w:p>
                  <w:pPr>
                    <w:jc w:val="left"/>
                    <w:rPr>
                      <w:rFonts w:asciiTheme="minorEastAsia" w:hAnsiTheme="minorEastAsia" w:eastAsiaTheme="minorEastAsia" w:cstheme="minorEastAsia"/>
                      <w:b/>
                      <w:bCs/>
                      <w:szCs w:val="21"/>
                    </w:rPr>
                  </w:pPr>
                  <w:r>
                    <w:drawing>
                      <wp:inline distT="0" distB="0" distL="114300" distR="114300">
                        <wp:extent cx="1930400" cy="2040255"/>
                        <wp:effectExtent l="0" t="0" r="0" b="444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1930400" cy="2040255"/>
                                </a:xfrm>
                                <a:prstGeom prst="rect">
                                  <a:avLst/>
                                </a:prstGeom>
                                <a:noFill/>
                                <a:ln>
                                  <a:noFill/>
                                </a:ln>
                              </pic:spPr>
                            </pic:pic>
                          </a:graphicData>
                        </a:graphic>
                      </wp:inline>
                    </w:drawing>
                  </w:r>
                </w:p>
              </w:tc>
              <w:tc>
                <w:tcPr>
                  <w:tcW w:w="3257" w:type="dxa"/>
                </w:tcPr>
                <w:p>
                  <w:pPr>
                    <w:jc w:val="left"/>
                    <w:rPr>
                      <w:rFonts w:asciiTheme="minorEastAsia" w:hAnsiTheme="minorEastAsia" w:eastAsiaTheme="minorEastAsia" w:cstheme="minorEastAsia"/>
                      <w:b/>
                      <w:bCs/>
                      <w:szCs w:val="21"/>
                    </w:rPr>
                  </w:pPr>
                  <w:r>
                    <w:drawing>
                      <wp:inline distT="0" distB="0" distL="114300" distR="114300">
                        <wp:extent cx="1927860" cy="1917065"/>
                        <wp:effectExtent l="0" t="0" r="2540" b="6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4"/>
                                <a:stretch>
                                  <a:fillRect/>
                                </a:stretch>
                              </pic:blipFill>
                              <pic:spPr>
                                <a:xfrm>
                                  <a:off x="0" y="0"/>
                                  <a:ext cx="1927860" cy="1917065"/>
                                </a:xfrm>
                                <a:prstGeom prst="rect">
                                  <a:avLst/>
                                </a:prstGeom>
                                <a:noFill/>
                                <a:ln>
                                  <a:noFill/>
                                </a:ln>
                              </pic:spPr>
                            </pic:pic>
                          </a:graphicData>
                        </a:graphic>
                      </wp:inline>
                    </w:drawing>
                  </w:r>
                </w:p>
              </w:tc>
              <w:tc>
                <w:tcPr>
                  <w:tcW w:w="3257" w:type="dxa"/>
                </w:tcPr>
                <w:p>
                  <w:pPr>
                    <w:jc w:val="left"/>
                    <w:rPr>
                      <w:rFonts w:asciiTheme="minorEastAsia" w:hAnsiTheme="minorEastAsia" w:eastAsiaTheme="minorEastAsia" w:cstheme="minorEastAsia"/>
                      <w:b/>
                      <w:bCs/>
                      <w:szCs w:val="21"/>
                    </w:rPr>
                  </w:pPr>
                  <w:r>
                    <w:drawing>
                      <wp:inline distT="0" distB="0" distL="114300" distR="114300">
                        <wp:extent cx="1930400" cy="1901825"/>
                        <wp:effectExtent l="0" t="0" r="0" b="317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5"/>
                                <a:stretch>
                                  <a:fillRect/>
                                </a:stretch>
                              </pic:blipFill>
                              <pic:spPr>
                                <a:xfrm>
                                  <a:off x="0" y="0"/>
                                  <a:ext cx="1930400" cy="1901825"/>
                                </a:xfrm>
                                <a:prstGeom prst="rect">
                                  <a:avLst/>
                                </a:prstGeom>
                                <a:noFill/>
                                <a:ln>
                                  <a:noFill/>
                                </a:ln>
                              </pic:spPr>
                            </pic:pic>
                          </a:graphicData>
                        </a:graphic>
                      </wp:inline>
                    </w:drawing>
                  </w:r>
                </w:p>
              </w:tc>
            </w:tr>
          </w:tbl>
          <w:p>
            <w:pPr>
              <w:rPr>
                <w:rFonts w:ascii="宋体" w:hAnsi="宋体"/>
              </w:rPr>
            </w:pPr>
          </w:p>
          <w:p>
            <w:pPr>
              <w:ind w:left="-315" w:leftChars="-150" w:firstLine="632" w:firstLineChars="300"/>
              <w:rPr>
                <w:rFonts w:ascii="宋体"/>
              </w:rPr>
            </w:pPr>
            <w:r>
              <w:rPr>
                <w:rFonts w:hint="eastAsia"/>
                <w:b/>
                <w:bCs/>
              </w:rPr>
              <w:t>抽5：</w:t>
            </w:r>
            <w:r>
              <w:rPr>
                <w:rFonts w:hint="eastAsia" w:ascii="宋体" w:hAnsi="宋体"/>
              </w:rPr>
              <w:t>原材料</w:t>
            </w:r>
            <w:r>
              <w:rPr>
                <w:rFonts w:ascii="宋体" w:hAnsi="宋体"/>
              </w:rPr>
              <w:t>(</w:t>
            </w:r>
            <w:r>
              <w:rPr>
                <w:rFonts w:hint="eastAsia" w:ascii="宋体" w:hAnsi="宋体"/>
              </w:rPr>
              <w:t>外购件</w:t>
            </w:r>
            <w:r>
              <w:rPr>
                <w:rFonts w:ascii="宋体" w:hAnsi="宋体"/>
              </w:rPr>
              <w:t xml:space="preserve">) </w:t>
            </w:r>
            <w:r>
              <w:rPr>
                <w:rFonts w:hint="eastAsia" w:ascii="宋体" w:hAnsi="宋体"/>
              </w:rPr>
              <w:t>验证</w:t>
            </w:r>
            <w:r>
              <w:rPr>
                <w:rFonts w:ascii="宋体" w:hAnsi="宋体"/>
              </w:rPr>
              <w:t>/</w:t>
            </w:r>
            <w:r>
              <w:rPr>
                <w:rFonts w:hint="eastAsia" w:ascii="宋体" w:hAnsi="宋体"/>
              </w:rPr>
              <w:t>检验记录</w:t>
            </w:r>
          </w:p>
          <w:p>
            <w:pPr>
              <w:ind w:left="-315" w:leftChars="-150" w:firstLine="630" w:firstLineChars="300"/>
              <w:rPr>
                <w:rFonts w:ascii="宋体" w:hAnsi="宋体"/>
              </w:rPr>
            </w:pPr>
            <w:r>
              <w:rPr>
                <w:rFonts w:hint="eastAsia" w:ascii="宋体" w:hAnsi="宋体"/>
              </w:rPr>
              <w:t>产品名称</w:t>
            </w:r>
            <w:r>
              <w:rPr>
                <w:rFonts w:ascii="宋体"/>
              </w:rPr>
              <w:t>：</w:t>
            </w:r>
            <w:r>
              <w:rPr>
                <w:rFonts w:hint="eastAsia" w:ascii="宋体" w:hAnsi="宋体"/>
              </w:rPr>
              <w:t xml:space="preserve">SBR  </w:t>
            </w:r>
            <w:r>
              <w:rPr>
                <w:rFonts w:hint="eastAsia" w:ascii="宋体"/>
              </w:rPr>
              <w:t xml:space="preserve">  </w:t>
            </w:r>
            <w:r>
              <w:rPr>
                <w:rFonts w:hint="eastAsia" w:ascii="宋体" w:hAnsi="宋体"/>
              </w:rPr>
              <w:t>生产厂家：</w:t>
            </w:r>
            <w:r>
              <w:rPr>
                <w:rFonts w:hint="eastAsia" w:ascii="宋体"/>
                <w:szCs w:val="21"/>
              </w:rPr>
              <w:t xml:space="preserve">     </w:t>
            </w:r>
            <w:r>
              <w:rPr>
                <w:rFonts w:ascii="宋体"/>
              </w:rPr>
              <w:tab/>
            </w:r>
            <w:r>
              <w:rPr>
                <w:rFonts w:hint="eastAsia" w:ascii="宋体"/>
              </w:rPr>
              <w:t>检验员：</w:t>
            </w:r>
            <w:r>
              <w:rPr>
                <w:rFonts w:hint="eastAsia" w:ascii="宋体" w:hAnsi="宋体"/>
              </w:rPr>
              <w:t>苏一帆</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380"/>
              <w:gridCol w:w="3380"/>
              <w:gridCol w:w="33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20" w:hRule="atLeast"/>
              </w:trPr>
              <w:tc>
                <w:tcPr>
                  <w:tcW w:w="3380" w:type="dxa"/>
                </w:tcPr>
                <w:p>
                  <w:pPr>
                    <w:jc w:val="left"/>
                    <w:rPr>
                      <w:rFonts w:asciiTheme="minorEastAsia" w:hAnsiTheme="minorEastAsia" w:eastAsiaTheme="minorEastAsia" w:cstheme="minorEastAsia"/>
                      <w:b/>
                      <w:bCs/>
                      <w:szCs w:val="21"/>
                    </w:rPr>
                  </w:pPr>
                  <w:r>
                    <w:drawing>
                      <wp:inline distT="0" distB="0" distL="114300" distR="114300">
                        <wp:extent cx="2006600" cy="1889760"/>
                        <wp:effectExtent l="0" t="0" r="0" b="254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6"/>
                                <a:stretch>
                                  <a:fillRect/>
                                </a:stretch>
                              </pic:blipFill>
                              <pic:spPr>
                                <a:xfrm>
                                  <a:off x="0" y="0"/>
                                  <a:ext cx="2006600" cy="1889760"/>
                                </a:xfrm>
                                <a:prstGeom prst="rect">
                                  <a:avLst/>
                                </a:prstGeom>
                                <a:noFill/>
                                <a:ln>
                                  <a:noFill/>
                                </a:ln>
                              </pic:spPr>
                            </pic:pic>
                          </a:graphicData>
                        </a:graphic>
                      </wp:inline>
                    </w:drawing>
                  </w:r>
                </w:p>
              </w:tc>
              <w:tc>
                <w:tcPr>
                  <w:tcW w:w="3380" w:type="dxa"/>
                </w:tcPr>
                <w:p>
                  <w:pPr>
                    <w:jc w:val="left"/>
                    <w:rPr>
                      <w:rFonts w:asciiTheme="minorEastAsia" w:hAnsiTheme="minorEastAsia" w:eastAsiaTheme="minorEastAsia" w:cstheme="minorEastAsia"/>
                      <w:b/>
                      <w:bCs/>
                      <w:szCs w:val="21"/>
                    </w:rPr>
                  </w:pPr>
                  <w:r>
                    <w:drawing>
                      <wp:inline distT="0" distB="0" distL="114300" distR="114300">
                        <wp:extent cx="2008505" cy="1917700"/>
                        <wp:effectExtent l="0" t="0" r="10795" b="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7"/>
                                <a:stretch>
                                  <a:fillRect/>
                                </a:stretch>
                              </pic:blipFill>
                              <pic:spPr>
                                <a:xfrm>
                                  <a:off x="0" y="0"/>
                                  <a:ext cx="2008505" cy="1917700"/>
                                </a:xfrm>
                                <a:prstGeom prst="rect">
                                  <a:avLst/>
                                </a:prstGeom>
                                <a:noFill/>
                                <a:ln>
                                  <a:noFill/>
                                </a:ln>
                              </pic:spPr>
                            </pic:pic>
                          </a:graphicData>
                        </a:graphic>
                      </wp:inline>
                    </w:drawing>
                  </w:r>
                </w:p>
              </w:tc>
              <w:tc>
                <w:tcPr>
                  <w:tcW w:w="3380" w:type="dxa"/>
                </w:tcPr>
                <w:p>
                  <w:pPr>
                    <w:jc w:val="left"/>
                    <w:rPr>
                      <w:rFonts w:asciiTheme="minorEastAsia" w:hAnsiTheme="minorEastAsia" w:eastAsiaTheme="minorEastAsia" w:cstheme="minorEastAsia"/>
                      <w:b/>
                      <w:bCs/>
                      <w:szCs w:val="21"/>
                    </w:rPr>
                  </w:pPr>
                  <w:r>
                    <w:drawing>
                      <wp:inline distT="0" distB="0" distL="114300" distR="114300">
                        <wp:extent cx="2008505" cy="1985645"/>
                        <wp:effectExtent l="0" t="0" r="10795" b="825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8"/>
                                <a:stretch>
                                  <a:fillRect/>
                                </a:stretch>
                              </pic:blipFill>
                              <pic:spPr>
                                <a:xfrm>
                                  <a:off x="0" y="0"/>
                                  <a:ext cx="2008505" cy="1985645"/>
                                </a:xfrm>
                                <a:prstGeom prst="rect">
                                  <a:avLst/>
                                </a:prstGeom>
                                <a:noFill/>
                                <a:ln>
                                  <a:noFill/>
                                </a:ln>
                              </pic:spPr>
                            </pic:pic>
                          </a:graphicData>
                        </a:graphic>
                      </wp:inline>
                    </w:drawing>
                  </w:r>
                </w:p>
              </w:tc>
            </w:tr>
          </w:tbl>
          <w:p>
            <w:pPr>
              <w:rPr>
                <w:rFonts w:ascii="宋体" w:hAnsi="宋体"/>
                <w:b/>
              </w:rPr>
            </w:pPr>
          </w:p>
          <w:p>
            <w:pPr>
              <w:ind w:firstLine="413" w:firstLineChars="196"/>
              <w:rPr>
                <w:rFonts w:hint="eastAsia" w:ascii="宋体" w:hAnsi="宋体"/>
                <w:b/>
                <w:lang w:val="en-US" w:eastAsia="zh-CN"/>
              </w:rPr>
            </w:pPr>
            <w:r>
              <w:rPr>
                <w:rFonts w:hint="eastAsia" w:ascii="宋体" w:hAnsi="宋体"/>
                <w:b/>
              </w:rPr>
              <w:t>抽查原材料的</w:t>
            </w:r>
            <w:r>
              <w:rPr>
                <w:rFonts w:hint="eastAsia" w:ascii="宋体" w:hAnsi="宋体"/>
                <w:b/>
                <w:lang w:val="en-US" w:eastAsia="zh-CN"/>
              </w:rPr>
              <w:t>出厂合格证明</w:t>
            </w:r>
          </w:p>
          <w:p>
            <w:pPr>
              <w:ind w:firstLine="413" w:firstLineChars="196"/>
              <w:rPr>
                <w:rFonts w:hint="eastAsia" w:ascii="宋体" w:hAnsi="宋体"/>
                <w:b/>
                <w:lang w:val="en-US" w:eastAsia="zh-CN"/>
              </w:rPr>
            </w:pPr>
          </w:p>
          <w:p>
            <w:pPr>
              <w:ind w:firstLine="411" w:firstLineChars="196"/>
              <w:rPr>
                <w:rFonts w:hint="eastAsia" w:ascii="宋体" w:hAnsi="宋体"/>
                <w:b/>
                <w:lang w:val="en-US" w:eastAsia="zh-CN"/>
              </w:rPr>
            </w:pPr>
            <w:r>
              <w:drawing>
                <wp:anchor distT="0" distB="0" distL="114300" distR="114300" simplePos="0" relativeHeight="251676672" behindDoc="0" locked="0" layoutInCell="1" allowOverlap="1">
                  <wp:simplePos x="0" y="0"/>
                  <wp:positionH relativeFrom="column">
                    <wp:posOffset>4928870</wp:posOffset>
                  </wp:positionH>
                  <wp:positionV relativeFrom="paragraph">
                    <wp:posOffset>153670</wp:posOffset>
                  </wp:positionV>
                  <wp:extent cx="2030095" cy="2211070"/>
                  <wp:effectExtent l="0" t="0" r="1905" b="1143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2030095" cy="2211070"/>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3265170</wp:posOffset>
                  </wp:positionH>
                  <wp:positionV relativeFrom="paragraph">
                    <wp:posOffset>154305</wp:posOffset>
                  </wp:positionV>
                  <wp:extent cx="1667510" cy="2220595"/>
                  <wp:effectExtent l="0" t="0" r="8890" b="190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1667510" cy="2220595"/>
                          </a:xfrm>
                          <a:prstGeom prst="rect">
                            <a:avLst/>
                          </a:prstGeom>
                          <a:noFill/>
                          <a:ln>
                            <a:noFill/>
                          </a:ln>
                        </pic:spPr>
                      </pic:pic>
                    </a:graphicData>
                  </a:graphic>
                </wp:anchor>
              </w:drawing>
            </w:r>
            <w:r>
              <w:rPr>
                <w:rFonts w:hint="eastAsia" w:ascii="宋体" w:hAnsi="宋体"/>
                <w:b/>
                <w:lang w:val="en-US" w:eastAsia="zh-CN"/>
              </w:rPr>
              <w:drawing>
                <wp:anchor distT="0" distB="0" distL="114300" distR="114300" simplePos="0" relativeHeight="251674624" behindDoc="0" locked="0" layoutInCell="1" allowOverlap="1">
                  <wp:simplePos x="0" y="0"/>
                  <wp:positionH relativeFrom="column">
                    <wp:posOffset>1671320</wp:posOffset>
                  </wp:positionH>
                  <wp:positionV relativeFrom="paragraph">
                    <wp:posOffset>165735</wp:posOffset>
                  </wp:positionV>
                  <wp:extent cx="1598930" cy="2264410"/>
                  <wp:effectExtent l="0" t="0" r="1270" b="8890"/>
                  <wp:wrapNone/>
                  <wp:docPr id="11" name="图片 11" descr="cec2caaa93773c7f865303910e5d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c2caaa93773c7f865303910e5d1cc"/>
                          <pic:cNvPicPr>
                            <a:picLocks noChangeAspect="1"/>
                          </pic:cNvPicPr>
                        </pic:nvPicPr>
                        <pic:blipFill>
                          <a:blip r:embed="rId21"/>
                          <a:stretch>
                            <a:fillRect/>
                          </a:stretch>
                        </pic:blipFill>
                        <pic:spPr>
                          <a:xfrm>
                            <a:off x="0" y="0"/>
                            <a:ext cx="1598930" cy="2264410"/>
                          </a:xfrm>
                          <a:prstGeom prst="rect">
                            <a:avLst/>
                          </a:prstGeom>
                        </pic:spPr>
                      </pic:pic>
                    </a:graphicData>
                  </a:graphic>
                </wp:anchor>
              </w:drawing>
            </w:r>
            <w:r>
              <w:rPr>
                <w:rFonts w:hint="default" w:ascii="宋体" w:hAnsi="宋体"/>
                <w:b/>
                <w:lang w:val="en-US" w:eastAsia="zh-CN"/>
              </w:rPr>
              <w:drawing>
                <wp:anchor distT="0" distB="0" distL="114300" distR="114300" simplePos="0" relativeHeight="251673600" behindDoc="0" locked="0" layoutInCell="1" allowOverlap="1">
                  <wp:simplePos x="0" y="0"/>
                  <wp:positionH relativeFrom="column">
                    <wp:posOffset>77470</wp:posOffset>
                  </wp:positionH>
                  <wp:positionV relativeFrom="paragraph">
                    <wp:posOffset>148590</wp:posOffset>
                  </wp:positionV>
                  <wp:extent cx="1620520" cy="2292985"/>
                  <wp:effectExtent l="0" t="0" r="5080" b="5715"/>
                  <wp:wrapNone/>
                  <wp:docPr id="10" name="图片 10" descr="9d0aa9adbb4a58d68383a26e5bdd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d0aa9adbb4a58d68383a26e5bdde74"/>
                          <pic:cNvPicPr>
                            <a:picLocks noChangeAspect="1"/>
                          </pic:cNvPicPr>
                        </pic:nvPicPr>
                        <pic:blipFill>
                          <a:blip r:embed="rId22"/>
                          <a:stretch>
                            <a:fillRect/>
                          </a:stretch>
                        </pic:blipFill>
                        <pic:spPr>
                          <a:xfrm>
                            <a:off x="0" y="0"/>
                            <a:ext cx="1620520" cy="2292985"/>
                          </a:xfrm>
                          <a:prstGeom prst="rect">
                            <a:avLst/>
                          </a:prstGeom>
                        </pic:spPr>
                      </pic:pic>
                    </a:graphicData>
                  </a:graphic>
                </wp:anchor>
              </w:drawing>
            </w: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eastAsia" w:ascii="宋体" w:hAnsi="宋体"/>
                <w:b/>
                <w:lang w:val="en-US" w:eastAsia="zh-CN"/>
              </w:rPr>
            </w:pPr>
          </w:p>
          <w:p>
            <w:pPr>
              <w:ind w:firstLine="413" w:firstLineChars="196"/>
              <w:rPr>
                <w:rFonts w:hint="default" w:ascii="宋体" w:hAnsi="宋体"/>
                <w:b/>
                <w:lang w:val="en-US" w:eastAsia="zh-CN"/>
              </w:rPr>
            </w:pP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采购进货检验中发现的不合格品，由采购部负责退回供应商，目前，公司的供应商比较稳定，产品质量达到公司的质量要求，未出现采购不合格的情况。</w:t>
            </w:r>
          </w:p>
          <w:p>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3、查混凝土生产实现关键过程——配方的配制、过程参数的控制：</w:t>
            </w:r>
          </w:p>
          <w:p>
            <w:pPr>
              <w:spacing w:line="360" w:lineRule="auto"/>
              <w:ind w:firstLine="422" w:firstLineChars="200"/>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抽《质量控制点原始记录》1</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产品规格型号:SBS4mm卷材（弹性体改性沥青防水卷材）         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.7.4</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配料配方：70#沥青:47.23%、10#沥青:13.23%、SBS:8.32%、机油:8.50%、滑石粉:22.72%，操作员：周杨海，确认人：杨斌。</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过程监控记录如下：</w:t>
            </w:r>
          </w:p>
          <w:p>
            <w:pPr>
              <w:spacing w:line="360" w:lineRule="auto"/>
              <w:rPr>
                <w:rFonts w:asciiTheme="minorEastAsia" w:hAnsiTheme="minorEastAsia" w:eastAsiaTheme="minorEastAsia" w:cstheme="minorEastAsia"/>
                <w:szCs w:val="21"/>
              </w:rPr>
            </w:pPr>
            <w:r>
              <w:rPr>
                <w:rFonts w:asciiTheme="minorEastAsia" w:hAnsiTheme="minorEastAsia" w:eastAsiaTheme="minorEastAsia" w:cstheme="minorEastAsia"/>
                <w:szCs w:val="21"/>
              </w:rPr>
              <w:drawing>
                <wp:inline distT="0" distB="0" distL="0" distR="0">
                  <wp:extent cx="6600825" cy="2352675"/>
                  <wp:effectExtent l="19050" t="0" r="952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23"/>
                          <a:srcRect t="4264" r="1141"/>
                          <a:stretch>
                            <a:fillRect/>
                          </a:stretch>
                        </pic:blipFill>
                        <pic:spPr>
                          <a:xfrm>
                            <a:off x="0" y="0"/>
                            <a:ext cx="6600825" cy="2352675"/>
                          </a:xfrm>
                          <a:prstGeom prst="rect">
                            <a:avLst/>
                          </a:prstGeom>
                          <a:noFill/>
                          <a:ln w="9525">
                            <a:noFill/>
                            <a:miter lim="800000"/>
                            <a:headEnd/>
                            <a:tailEnd/>
                          </a:ln>
                        </pic:spPr>
                      </pic:pic>
                    </a:graphicData>
                  </a:graphic>
                </wp:inline>
              </w:drawing>
            </w:r>
          </w:p>
          <w:p>
            <w:pPr>
              <w:spacing w:line="360" w:lineRule="auto"/>
              <w:ind w:firstLine="422" w:firstLineChars="200"/>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抽《质量控制点原始记录》2</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产品规格型号:</w:t>
            </w:r>
            <w:r>
              <w:rPr>
                <w:rFonts w:hint="eastAsia"/>
              </w:rPr>
              <w:t xml:space="preserve"> SBS改性沥青防水卷材3mm</w:t>
            </w:r>
            <w:r>
              <w:rPr>
                <w:rFonts w:hint="eastAsia" w:asciiTheme="minorEastAsia" w:hAnsiTheme="minorEastAsia" w:eastAsiaTheme="minorEastAsia" w:cstheme="minorEastAsia"/>
                <w:szCs w:val="21"/>
              </w:rPr>
              <w:t>（（弹性体改性沥青防水卷材）        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.7.4</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配料配方：70#沥青:47.23%、10#沥青:13.23%、SBS:8.32%、机油:8.50%、滑石粉:22.72%，操作员：周杨海，确认人：杨斌。</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过程监控记录如下</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inline distT="0" distB="0" distL="0" distR="0">
                  <wp:extent cx="6619875" cy="2400300"/>
                  <wp:effectExtent l="19050" t="0" r="9525"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24"/>
                          <a:srcRect/>
                          <a:stretch>
                            <a:fillRect/>
                          </a:stretch>
                        </pic:blipFill>
                        <pic:spPr>
                          <a:xfrm>
                            <a:off x="0" y="0"/>
                            <a:ext cx="6619875" cy="2400300"/>
                          </a:xfrm>
                          <a:prstGeom prst="rect">
                            <a:avLst/>
                          </a:prstGeom>
                          <a:noFill/>
                          <a:ln w="9525">
                            <a:noFill/>
                            <a:miter lim="800000"/>
                            <a:headEnd/>
                            <a:tailEnd/>
                          </a:ln>
                        </pic:spPr>
                      </pic:pic>
                    </a:graphicData>
                  </a:graphic>
                </wp:inline>
              </w:drawing>
            </w:r>
          </w:p>
          <w:p>
            <w:pPr>
              <w:spacing w:line="360" w:lineRule="auto"/>
              <w:ind w:firstLine="422" w:firstLineChars="200"/>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抽《质量控制点原始记录》3</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产品规格型号:</w:t>
            </w:r>
            <w:r>
              <w:rPr>
                <w:rFonts w:hint="eastAsia"/>
              </w:rPr>
              <w:t xml:space="preserve"> 自粘卷材（2mm）  （自粘聚合物改性沥青防水卷材），</w:t>
            </w:r>
            <w:r>
              <w:rPr>
                <w:rFonts w:hint="eastAsia" w:asciiTheme="minorEastAsia" w:hAnsiTheme="minorEastAsia" w:eastAsiaTheme="minorEastAsia" w:cstheme="minorEastAsia"/>
                <w:szCs w:val="21"/>
              </w:rPr>
              <w:t>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.6.26</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配料配方：70#沥青:50.00%、环烷橡胶油:10.00%、SBR:10.00%、石油树脂:4.00%、滑石粉:26.00%，操作员：周杨海，确认人：杨斌。</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过程监控记录如下</w:t>
            </w:r>
          </w:p>
          <w:p>
            <w:pPr>
              <w:spacing w:line="360" w:lineRule="auto"/>
              <w:rPr>
                <w:rFonts w:asciiTheme="minorEastAsia" w:hAnsiTheme="minorEastAsia" w:eastAsiaTheme="minorEastAsia" w:cstheme="minorEastAsia"/>
                <w:szCs w:val="21"/>
              </w:rPr>
            </w:pPr>
            <w:r>
              <w:rPr>
                <w:rFonts w:asciiTheme="minorEastAsia" w:hAnsiTheme="minorEastAsia" w:eastAsiaTheme="minorEastAsia" w:cstheme="minorEastAsia"/>
                <w:szCs w:val="21"/>
              </w:rPr>
              <w:drawing>
                <wp:inline distT="0" distB="0" distL="0" distR="0">
                  <wp:extent cx="5438775" cy="192405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5"/>
                          <a:srcRect/>
                          <a:stretch>
                            <a:fillRect/>
                          </a:stretch>
                        </pic:blipFill>
                        <pic:spPr>
                          <a:xfrm>
                            <a:off x="0" y="0"/>
                            <a:ext cx="5438775" cy="1924050"/>
                          </a:xfrm>
                          <a:prstGeom prst="rect">
                            <a:avLst/>
                          </a:prstGeom>
                          <a:noFill/>
                          <a:ln w="9525">
                            <a:noFill/>
                            <a:miter lim="800000"/>
                            <a:headEnd/>
                            <a:tailEnd/>
                          </a:ln>
                        </pic:spPr>
                      </pic:pic>
                    </a:graphicData>
                  </a:graphic>
                </wp:inline>
              </w:drawing>
            </w:r>
          </w:p>
          <w:p>
            <w:pPr>
              <w:spacing w:line="360" w:lineRule="auto"/>
              <w:ind w:firstLine="422" w:firstLineChars="200"/>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抽《质量控制点原始记录》4</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产品规格型号:</w:t>
            </w:r>
            <w:r>
              <w:rPr>
                <w:rFonts w:hint="eastAsia"/>
              </w:rPr>
              <w:t xml:space="preserve"> 自粘卷材（2mm）  （自粘聚合物改性沥青防水卷材），</w:t>
            </w:r>
            <w:r>
              <w:rPr>
                <w:rFonts w:hint="eastAsia" w:asciiTheme="minorEastAsia" w:hAnsiTheme="minorEastAsia" w:eastAsiaTheme="minorEastAsia" w:cstheme="minorEastAsia"/>
                <w:szCs w:val="21"/>
              </w:rPr>
              <w:t>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.7.02</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配料配方：70#沥青:50.00%、环烷橡胶油:10.00%、SBR:10.00%、石油树脂:4.00%、滑石粉:26.00%，操作员：周杨海，确认人：杨斌。</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过程监控记录如下</w:t>
            </w:r>
          </w:p>
          <w:p>
            <w:pPr>
              <w:spacing w:line="360" w:lineRule="auto"/>
              <w:rPr>
                <w:rFonts w:asciiTheme="minorEastAsia" w:hAnsiTheme="minorEastAsia" w:eastAsiaTheme="minorEastAsia" w:cstheme="minorEastAsia"/>
                <w:szCs w:val="21"/>
              </w:rPr>
            </w:pPr>
            <w:r>
              <w:rPr>
                <w:rFonts w:asciiTheme="minorEastAsia" w:hAnsiTheme="minorEastAsia" w:eastAsiaTheme="minorEastAsia" w:cstheme="minorEastAsia"/>
                <w:szCs w:val="21"/>
              </w:rPr>
              <w:drawing>
                <wp:inline distT="0" distB="0" distL="0" distR="0">
                  <wp:extent cx="5343525" cy="193357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6"/>
                          <a:srcRect/>
                          <a:stretch>
                            <a:fillRect/>
                          </a:stretch>
                        </pic:blipFill>
                        <pic:spPr>
                          <a:xfrm>
                            <a:off x="0" y="0"/>
                            <a:ext cx="5343525" cy="193357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cstheme="minorEastAsia"/>
                <w:b/>
                <w:bCs/>
                <w:szCs w:val="21"/>
              </w:rPr>
            </w:pPr>
            <w:r>
              <w:rPr>
                <w:rFonts w:hint="eastAsia" w:asciiTheme="minorEastAsia" w:hAnsiTheme="minorEastAsia" w:eastAsiaTheme="minorEastAsia" w:cstheme="minorEastAsia"/>
                <w:bCs/>
                <w:szCs w:val="21"/>
              </w:rPr>
              <w:t>5、抽查</w:t>
            </w:r>
            <w:r>
              <w:rPr>
                <w:rFonts w:hint="eastAsia" w:asciiTheme="minorEastAsia" w:hAnsiTheme="minorEastAsia" w:eastAsiaTheme="minorEastAsia" w:cstheme="minorEastAsia"/>
                <w:b/>
                <w:bCs/>
                <w:szCs w:val="21"/>
              </w:rPr>
              <w:t>出厂检验记录/出厂检验报告</w:t>
            </w:r>
          </w:p>
          <w:p>
            <w:pPr>
              <w:jc w:val="left"/>
              <w:rPr>
                <w:rFonts w:hint="eastAsia" w:ascii="宋体" w:hAnsi="宋体"/>
              </w:rPr>
            </w:pPr>
            <w:r>
              <w:rPr>
                <w:rFonts w:hint="eastAsia" w:ascii="宋体" w:hAnsi="宋体"/>
              </w:rPr>
              <w:t xml:space="preserve">  </w:t>
            </w:r>
            <w:r>
              <w:drawing>
                <wp:inline distT="0" distB="0" distL="114300" distR="114300">
                  <wp:extent cx="1628140" cy="2082800"/>
                  <wp:effectExtent l="0" t="0" r="1016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7"/>
                          <a:stretch>
                            <a:fillRect/>
                          </a:stretch>
                        </pic:blipFill>
                        <pic:spPr>
                          <a:xfrm>
                            <a:off x="0" y="0"/>
                            <a:ext cx="1628140" cy="2082800"/>
                          </a:xfrm>
                          <a:prstGeom prst="rect">
                            <a:avLst/>
                          </a:prstGeom>
                          <a:noFill/>
                          <a:ln>
                            <a:noFill/>
                          </a:ln>
                        </pic:spPr>
                      </pic:pic>
                    </a:graphicData>
                  </a:graphic>
                </wp:inline>
              </w:drawing>
            </w:r>
            <w:r>
              <w:drawing>
                <wp:inline distT="0" distB="0" distL="114300" distR="114300">
                  <wp:extent cx="1552575" cy="2070735"/>
                  <wp:effectExtent l="0" t="0" r="9525" b="1206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8"/>
                          <a:stretch>
                            <a:fillRect/>
                          </a:stretch>
                        </pic:blipFill>
                        <pic:spPr>
                          <a:xfrm>
                            <a:off x="0" y="0"/>
                            <a:ext cx="1552575" cy="2070735"/>
                          </a:xfrm>
                          <a:prstGeom prst="rect">
                            <a:avLst/>
                          </a:prstGeom>
                          <a:noFill/>
                          <a:ln>
                            <a:noFill/>
                          </a:ln>
                        </pic:spPr>
                      </pic:pic>
                    </a:graphicData>
                  </a:graphic>
                </wp:inline>
              </w:drawing>
            </w:r>
            <w:r>
              <w:drawing>
                <wp:inline distT="0" distB="0" distL="114300" distR="114300">
                  <wp:extent cx="1528445" cy="2102485"/>
                  <wp:effectExtent l="0" t="0" r="8255" b="571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9"/>
                          <a:stretch>
                            <a:fillRect/>
                          </a:stretch>
                        </pic:blipFill>
                        <pic:spPr>
                          <a:xfrm>
                            <a:off x="0" y="0"/>
                            <a:ext cx="1528445" cy="2102485"/>
                          </a:xfrm>
                          <a:prstGeom prst="rect">
                            <a:avLst/>
                          </a:prstGeom>
                          <a:noFill/>
                          <a:ln>
                            <a:noFill/>
                          </a:ln>
                        </pic:spPr>
                      </pic:pic>
                    </a:graphicData>
                  </a:graphic>
                </wp:inline>
              </w:drawing>
            </w:r>
            <w:r>
              <w:drawing>
                <wp:inline distT="0" distB="0" distL="114300" distR="114300">
                  <wp:extent cx="2091690" cy="1259205"/>
                  <wp:effectExtent l="0" t="0" r="3810" b="1079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0"/>
                          <a:stretch>
                            <a:fillRect/>
                          </a:stretch>
                        </pic:blipFill>
                        <pic:spPr>
                          <a:xfrm>
                            <a:off x="0" y="0"/>
                            <a:ext cx="2091690" cy="1259205"/>
                          </a:xfrm>
                          <a:prstGeom prst="rect">
                            <a:avLst/>
                          </a:prstGeom>
                          <a:noFill/>
                          <a:ln>
                            <a:noFill/>
                          </a:ln>
                        </pic:spPr>
                      </pic:pic>
                    </a:graphicData>
                  </a:graphic>
                </wp:inline>
              </w:drawing>
            </w:r>
            <w:r>
              <w:drawing>
                <wp:inline distT="0" distB="0" distL="114300" distR="114300">
                  <wp:extent cx="1703705" cy="2216785"/>
                  <wp:effectExtent l="0" t="0" r="10795" b="571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31"/>
                          <a:stretch>
                            <a:fillRect/>
                          </a:stretch>
                        </pic:blipFill>
                        <pic:spPr>
                          <a:xfrm>
                            <a:off x="0" y="0"/>
                            <a:ext cx="1703705" cy="2216785"/>
                          </a:xfrm>
                          <a:prstGeom prst="rect">
                            <a:avLst/>
                          </a:prstGeom>
                          <a:noFill/>
                          <a:ln>
                            <a:noFill/>
                          </a:ln>
                        </pic:spPr>
                      </pic:pic>
                    </a:graphicData>
                  </a:graphic>
                </wp:inline>
              </w:drawing>
            </w:r>
            <w:r>
              <w:drawing>
                <wp:inline distT="0" distB="0" distL="114300" distR="114300">
                  <wp:extent cx="1809115" cy="2254250"/>
                  <wp:effectExtent l="0" t="0" r="6985" b="635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2"/>
                          <a:stretch>
                            <a:fillRect/>
                          </a:stretch>
                        </pic:blipFill>
                        <pic:spPr>
                          <a:xfrm>
                            <a:off x="0" y="0"/>
                            <a:ext cx="1809115" cy="2254250"/>
                          </a:xfrm>
                          <a:prstGeom prst="rect">
                            <a:avLst/>
                          </a:prstGeom>
                          <a:noFill/>
                          <a:ln>
                            <a:noFill/>
                          </a:ln>
                        </pic:spPr>
                      </pic:pic>
                    </a:graphicData>
                  </a:graphic>
                </wp:inline>
              </w:drawing>
            </w:r>
          </w:p>
          <w:p>
            <w:pPr>
              <w:jc w:val="left"/>
              <w:rPr>
                <w:rFonts w:hint="eastAsia" w:ascii="宋体" w:hAnsi="宋体"/>
              </w:rPr>
            </w:pPr>
          </w:p>
          <w:p>
            <w:pPr>
              <w:jc w:val="left"/>
              <w:rPr>
                <w:rFonts w:hint="eastAsia" w:ascii="宋体" w:hAnsi="宋体"/>
              </w:rPr>
            </w:pPr>
          </w:p>
          <w:p>
            <w:pPr>
              <w:jc w:val="left"/>
              <w:rPr>
                <w:rFonts w:hint="eastAsia" w:ascii="宋体" w:hAnsi="宋体"/>
              </w:rPr>
            </w:pPr>
            <w:r>
              <w:drawing>
                <wp:inline distT="0" distB="0" distL="114300" distR="114300">
                  <wp:extent cx="1824355" cy="2482850"/>
                  <wp:effectExtent l="0" t="0" r="4445" b="635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3"/>
                          <a:stretch>
                            <a:fillRect/>
                          </a:stretch>
                        </pic:blipFill>
                        <pic:spPr>
                          <a:xfrm>
                            <a:off x="0" y="0"/>
                            <a:ext cx="1824355" cy="2482850"/>
                          </a:xfrm>
                          <a:prstGeom prst="rect">
                            <a:avLst/>
                          </a:prstGeom>
                          <a:noFill/>
                          <a:ln>
                            <a:noFill/>
                          </a:ln>
                        </pic:spPr>
                      </pic:pic>
                    </a:graphicData>
                  </a:graphic>
                </wp:inline>
              </w:drawing>
            </w:r>
            <w:r>
              <w:drawing>
                <wp:inline distT="0" distB="0" distL="114300" distR="114300">
                  <wp:extent cx="2686685" cy="1631950"/>
                  <wp:effectExtent l="0" t="0" r="5715" b="635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34"/>
                          <a:stretch>
                            <a:fillRect/>
                          </a:stretch>
                        </pic:blipFill>
                        <pic:spPr>
                          <a:xfrm>
                            <a:off x="0" y="0"/>
                            <a:ext cx="2686685" cy="1631950"/>
                          </a:xfrm>
                          <a:prstGeom prst="rect">
                            <a:avLst/>
                          </a:prstGeom>
                          <a:noFill/>
                          <a:ln>
                            <a:noFill/>
                          </a:ln>
                        </pic:spPr>
                      </pic:pic>
                    </a:graphicData>
                  </a:graphic>
                </wp:inline>
              </w:drawing>
            </w:r>
          </w:p>
          <w:p>
            <w:pPr>
              <w:numPr>
                <w:ilvl w:val="0"/>
                <w:numId w:val="6"/>
              </w:numPr>
              <w:jc w:val="left"/>
              <w:rPr>
                <w:rFonts w:hint="eastAsia" w:asciiTheme="minorEastAsia" w:hAnsiTheme="minorEastAsia" w:eastAsiaTheme="minorEastAsia" w:cstheme="minorEastAsia"/>
                <w:b/>
                <w:bCs/>
                <w:szCs w:val="21"/>
                <w:lang w:val="en-US" w:eastAsia="zh-CN"/>
              </w:rPr>
            </w:pPr>
            <w:r>
              <w:rPr>
                <w:rFonts w:hint="eastAsia" w:asciiTheme="minorEastAsia" w:hAnsiTheme="minorEastAsia" w:eastAsiaTheme="minorEastAsia" w:cstheme="minorEastAsia"/>
                <w:b/>
                <w:bCs/>
                <w:szCs w:val="21"/>
                <w:lang w:val="en-US" w:eastAsia="zh-CN"/>
              </w:rPr>
              <w:t>市级专项监督检查</w:t>
            </w: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r>
              <w:drawing>
                <wp:anchor distT="0" distB="0" distL="114300" distR="114300" simplePos="0" relativeHeight="251669504" behindDoc="0" locked="0" layoutInCell="1" allowOverlap="1">
                  <wp:simplePos x="0" y="0"/>
                  <wp:positionH relativeFrom="column">
                    <wp:posOffset>3505200</wp:posOffset>
                  </wp:positionH>
                  <wp:positionV relativeFrom="paragraph">
                    <wp:posOffset>120015</wp:posOffset>
                  </wp:positionV>
                  <wp:extent cx="1797050" cy="2049780"/>
                  <wp:effectExtent l="0" t="0" r="6350" b="7620"/>
                  <wp:wrapNone/>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35"/>
                          <a:stretch>
                            <a:fillRect/>
                          </a:stretch>
                        </pic:blipFill>
                        <pic:spPr>
                          <a:xfrm>
                            <a:off x="0" y="0"/>
                            <a:ext cx="1797050" cy="204978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1752600</wp:posOffset>
                  </wp:positionH>
                  <wp:positionV relativeFrom="paragraph">
                    <wp:posOffset>69850</wp:posOffset>
                  </wp:positionV>
                  <wp:extent cx="1576705" cy="2066290"/>
                  <wp:effectExtent l="0" t="0" r="10795" b="3810"/>
                  <wp:wrapNone/>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36"/>
                          <a:stretch>
                            <a:fillRect/>
                          </a:stretch>
                        </pic:blipFill>
                        <pic:spPr>
                          <a:xfrm>
                            <a:off x="0" y="0"/>
                            <a:ext cx="1576705" cy="206629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-6350</wp:posOffset>
                  </wp:positionH>
                  <wp:positionV relativeFrom="paragraph">
                    <wp:posOffset>99060</wp:posOffset>
                  </wp:positionV>
                  <wp:extent cx="1568450" cy="2091055"/>
                  <wp:effectExtent l="0" t="0" r="6350" b="4445"/>
                  <wp:wrapNone/>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37"/>
                          <a:stretch>
                            <a:fillRect/>
                          </a:stretch>
                        </pic:blipFill>
                        <pic:spPr>
                          <a:xfrm>
                            <a:off x="0" y="0"/>
                            <a:ext cx="1568450" cy="2091055"/>
                          </a:xfrm>
                          <a:prstGeom prst="rect">
                            <a:avLst/>
                          </a:prstGeom>
                          <a:noFill/>
                          <a:ln>
                            <a:noFill/>
                          </a:ln>
                        </pic:spPr>
                      </pic:pic>
                    </a:graphicData>
                  </a:graphic>
                </wp:anchor>
              </w:drawing>
            </w: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rPr>
                <w:rFonts w:hint="default" w:asciiTheme="minorEastAsia" w:hAnsiTheme="minorEastAsia" w:eastAsiaTheme="minorEastAsia" w:cstheme="minorEastAsia"/>
                <w:b/>
                <w:bCs/>
                <w:szCs w:val="21"/>
                <w:lang w:val="en-US" w:eastAsia="zh-CN"/>
              </w:rPr>
            </w:pP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0"/>
              </w:numPr>
              <w:jc w:val="left"/>
            </w:pPr>
            <w:r>
              <w:drawing>
                <wp:inline distT="0" distB="0" distL="114300" distR="114300">
                  <wp:extent cx="1699895" cy="2286000"/>
                  <wp:effectExtent l="0" t="0" r="1905"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38"/>
                          <a:stretch>
                            <a:fillRect/>
                          </a:stretch>
                        </pic:blipFill>
                        <pic:spPr>
                          <a:xfrm>
                            <a:off x="0" y="0"/>
                            <a:ext cx="1699895" cy="2286000"/>
                          </a:xfrm>
                          <a:prstGeom prst="rect">
                            <a:avLst/>
                          </a:prstGeom>
                          <a:noFill/>
                          <a:ln>
                            <a:noFill/>
                          </a:ln>
                        </pic:spPr>
                      </pic:pic>
                    </a:graphicData>
                  </a:graphic>
                </wp:inline>
              </w:drawing>
            </w:r>
            <w:r>
              <w:drawing>
                <wp:inline distT="0" distB="0" distL="114300" distR="114300">
                  <wp:extent cx="1654810" cy="2273300"/>
                  <wp:effectExtent l="0" t="0" r="8890" b="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39"/>
                          <a:stretch>
                            <a:fillRect/>
                          </a:stretch>
                        </pic:blipFill>
                        <pic:spPr>
                          <a:xfrm>
                            <a:off x="0" y="0"/>
                            <a:ext cx="1654810" cy="2273300"/>
                          </a:xfrm>
                          <a:prstGeom prst="rect">
                            <a:avLst/>
                          </a:prstGeom>
                          <a:noFill/>
                          <a:ln>
                            <a:noFill/>
                          </a:ln>
                        </pic:spPr>
                      </pic:pic>
                    </a:graphicData>
                  </a:graphic>
                </wp:inline>
              </w:drawing>
            </w:r>
            <w:r>
              <w:drawing>
                <wp:inline distT="0" distB="0" distL="114300" distR="114300">
                  <wp:extent cx="1632585" cy="2266950"/>
                  <wp:effectExtent l="0" t="0" r="5715" b="635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40"/>
                          <a:stretch>
                            <a:fillRect/>
                          </a:stretch>
                        </pic:blipFill>
                        <pic:spPr>
                          <a:xfrm>
                            <a:off x="0" y="0"/>
                            <a:ext cx="1632585" cy="2266950"/>
                          </a:xfrm>
                          <a:prstGeom prst="rect">
                            <a:avLst/>
                          </a:prstGeom>
                          <a:noFill/>
                          <a:ln>
                            <a:noFill/>
                          </a:ln>
                        </pic:spPr>
                      </pic:pic>
                    </a:graphicData>
                  </a:graphic>
                </wp:inline>
              </w:drawing>
            </w:r>
          </w:p>
          <w:p>
            <w:pPr>
              <w:jc w:val="left"/>
              <w:rPr>
                <w:rFonts w:asciiTheme="minorEastAsia" w:hAnsiTheme="minorEastAsia" w:eastAsiaTheme="minorEastAsia" w:cstheme="minorEastAsia"/>
                <w:b/>
                <w:bCs/>
                <w:szCs w:val="21"/>
              </w:rPr>
            </w:pPr>
            <w:r>
              <w:rPr>
                <w:rFonts w:hint="eastAsia"/>
              </w:rPr>
              <w:t>7、</w:t>
            </w:r>
            <w:r>
              <w:rPr>
                <w:rFonts w:hint="eastAsia" w:asciiTheme="minorEastAsia" w:hAnsiTheme="minorEastAsia" w:eastAsiaTheme="minorEastAsia" w:cstheme="minorEastAsia"/>
                <w:b/>
                <w:bCs/>
                <w:szCs w:val="21"/>
              </w:rPr>
              <w:t>省级专项监督抽查</w:t>
            </w:r>
          </w:p>
          <w:p>
            <w:pPr>
              <w:ind w:firstLine="310" w:firstLineChars="148"/>
              <w:jc w:val="left"/>
              <w:rPr>
                <w:rFonts w:asciiTheme="minorEastAsia" w:hAnsiTheme="minorEastAsia" w:eastAsiaTheme="minorEastAsia" w:cstheme="minorEastAsia"/>
                <w:bCs/>
                <w:szCs w:val="21"/>
              </w:rPr>
            </w:pPr>
            <w:r>
              <w:rPr>
                <w:rFonts w:hint="eastAsia"/>
              </w:rPr>
              <w:t>《</w:t>
            </w:r>
            <w:r>
              <w:rPr>
                <w:rFonts w:hint="eastAsia"/>
                <w:b/>
              </w:rPr>
              <w:t>自粘聚合物改性沥青防水卷材</w:t>
            </w:r>
            <w:r>
              <w:rPr>
                <w:rFonts w:hint="eastAsia"/>
              </w:rPr>
              <w:t xml:space="preserve"> </w:t>
            </w:r>
            <w:r>
              <w:rPr>
                <w:rFonts w:hint="eastAsia" w:asciiTheme="minorEastAsia" w:hAnsiTheme="minorEastAsia" w:eastAsiaTheme="minorEastAsia" w:cstheme="minorEastAsia"/>
                <w:bCs/>
                <w:szCs w:val="21"/>
              </w:rPr>
              <w:t>专项监督抽查</w:t>
            </w:r>
            <w:r>
              <w:rPr>
                <w:rFonts w:hint="eastAsia"/>
              </w:rPr>
              <w:t>检验报告》和《</w:t>
            </w:r>
            <w:r>
              <w:rPr>
                <w:rFonts w:hint="eastAsia"/>
                <w:b/>
              </w:rPr>
              <w:t>弹性体改性沥青防水卷材</w:t>
            </w:r>
            <w:r>
              <w:rPr>
                <w:rFonts w:hint="eastAsia"/>
              </w:rPr>
              <w:t xml:space="preserve"> </w:t>
            </w:r>
            <w:r>
              <w:rPr>
                <w:rFonts w:hint="eastAsia" w:asciiTheme="minorEastAsia" w:hAnsiTheme="minorEastAsia" w:eastAsiaTheme="minorEastAsia" w:cstheme="minorEastAsia"/>
                <w:bCs/>
                <w:szCs w:val="21"/>
              </w:rPr>
              <w:t>专项监督抽查</w:t>
            </w:r>
            <w:r>
              <w:rPr>
                <w:rFonts w:hint="eastAsia"/>
              </w:rPr>
              <w:t>检验报告》</w:t>
            </w:r>
          </w:p>
          <w:p>
            <w:pPr>
              <w:jc w:val="left"/>
              <w:rPr>
                <w:rFonts w:asciiTheme="minorEastAsia" w:hAnsiTheme="minorEastAsia" w:eastAsiaTheme="minorEastAsia" w:cstheme="minorEastAsia"/>
                <w:b/>
                <w:bCs/>
                <w:szCs w:val="21"/>
              </w:rPr>
            </w:pPr>
          </w:p>
          <w:p>
            <w:pPr>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 xml:space="preserve">   </w:t>
            </w:r>
          </w:p>
          <w:p>
            <w:pPr>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 xml:space="preserve">   </w:t>
            </w:r>
            <w:r>
              <w:drawing>
                <wp:inline distT="0" distB="0" distL="114300" distR="114300">
                  <wp:extent cx="1299845" cy="1915160"/>
                  <wp:effectExtent l="0" t="0" r="8255" b="254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41"/>
                          <a:stretch>
                            <a:fillRect/>
                          </a:stretch>
                        </pic:blipFill>
                        <pic:spPr>
                          <a:xfrm>
                            <a:off x="0" y="0"/>
                            <a:ext cx="1299845" cy="1915160"/>
                          </a:xfrm>
                          <a:prstGeom prst="rect">
                            <a:avLst/>
                          </a:prstGeom>
                          <a:noFill/>
                          <a:ln>
                            <a:noFill/>
                          </a:ln>
                        </pic:spPr>
                      </pic:pic>
                    </a:graphicData>
                  </a:graphic>
                </wp:inline>
              </w:drawing>
            </w:r>
            <w:r>
              <w:rPr>
                <w:rFonts w:hint="eastAsia" w:asciiTheme="minorEastAsia" w:hAnsiTheme="minorEastAsia" w:eastAsiaTheme="minorEastAsia" w:cstheme="minorEastAsia"/>
                <w:b/>
                <w:bCs/>
                <w:szCs w:val="21"/>
              </w:rPr>
              <w:t xml:space="preserve">  </w:t>
            </w:r>
            <w:r>
              <w:drawing>
                <wp:inline distT="0" distB="0" distL="114300" distR="114300">
                  <wp:extent cx="1374140" cy="1873250"/>
                  <wp:effectExtent l="0" t="0" r="10160" b="635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42"/>
                          <a:stretch>
                            <a:fillRect/>
                          </a:stretch>
                        </pic:blipFill>
                        <pic:spPr>
                          <a:xfrm>
                            <a:off x="0" y="0"/>
                            <a:ext cx="1374140" cy="1873250"/>
                          </a:xfrm>
                          <a:prstGeom prst="rect">
                            <a:avLst/>
                          </a:prstGeom>
                          <a:noFill/>
                          <a:ln>
                            <a:noFill/>
                          </a:ln>
                        </pic:spPr>
                      </pic:pic>
                    </a:graphicData>
                  </a:graphic>
                </wp:inline>
              </w:drawing>
            </w:r>
            <w:r>
              <w:drawing>
                <wp:inline distT="0" distB="0" distL="114300" distR="114300">
                  <wp:extent cx="1471295" cy="1847850"/>
                  <wp:effectExtent l="0" t="0" r="1905" b="635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43"/>
                          <a:stretch>
                            <a:fillRect/>
                          </a:stretch>
                        </pic:blipFill>
                        <pic:spPr>
                          <a:xfrm>
                            <a:off x="0" y="0"/>
                            <a:ext cx="1471295" cy="1847850"/>
                          </a:xfrm>
                          <a:prstGeom prst="rect">
                            <a:avLst/>
                          </a:prstGeom>
                          <a:noFill/>
                          <a:ln>
                            <a:noFill/>
                          </a:ln>
                        </pic:spPr>
                      </pic:pic>
                    </a:graphicData>
                  </a:graphic>
                </wp:inline>
              </w:drawing>
            </w:r>
            <w:r>
              <w:drawing>
                <wp:inline distT="0" distB="0" distL="114300" distR="114300">
                  <wp:extent cx="1333500" cy="1850390"/>
                  <wp:effectExtent l="0" t="0" r="0" b="381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44"/>
                          <a:stretch>
                            <a:fillRect/>
                          </a:stretch>
                        </pic:blipFill>
                        <pic:spPr>
                          <a:xfrm>
                            <a:off x="0" y="0"/>
                            <a:ext cx="1333500" cy="1850390"/>
                          </a:xfrm>
                          <a:prstGeom prst="rect">
                            <a:avLst/>
                          </a:prstGeom>
                          <a:noFill/>
                          <a:ln>
                            <a:noFill/>
                          </a:ln>
                        </pic:spPr>
                      </pic:pic>
                    </a:graphicData>
                  </a:graphic>
                </wp:inline>
              </w:drawing>
            </w:r>
          </w:p>
          <w:p>
            <w:pPr>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 xml:space="preserve">    8、第三方检验报告：</w:t>
            </w:r>
          </w:p>
          <w:p>
            <w:pPr>
              <w:jc w:val="left"/>
              <w:rPr>
                <w:rFonts w:asciiTheme="minorEastAsia" w:hAnsiTheme="minorEastAsia" w:eastAsiaTheme="minorEastAsia" w:cstheme="minorEastAsia"/>
                <w:b/>
                <w:bCs/>
                <w:szCs w:val="21"/>
              </w:rPr>
            </w:pPr>
          </w:p>
          <w:p>
            <w:pPr>
              <w:spacing w:line="360" w:lineRule="auto"/>
              <w:ind w:firstLine="210" w:firstLineChars="100"/>
              <w:rPr>
                <w:rFonts w:hint="eastAsia" w:asciiTheme="minorEastAsia" w:hAnsiTheme="minorEastAsia" w:eastAsiaTheme="minorEastAsia" w:cstheme="minorEastAsia"/>
                <w:kern w:val="0"/>
                <w:szCs w:val="21"/>
              </w:rPr>
            </w:pPr>
            <w:r>
              <w:drawing>
                <wp:inline distT="0" distB="0" distL="114300" distR="114300">
                  <wp:extent cx="1649095" cy="2228850"/>
                  <wp:effectExtent l="0" t="0" r="1905" b="635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45"/>
                          <a:stretch>
                            <a:fillRect/>
                          </a:stretch>
                        </pic:blipFill>
                        <pic:spPr>
                          <a:xfrm>
                            <a:off x="0" y="0"/>
                            <a:ext cx="1649095" cy="2228850"/>
                          </a:xfrm>
                          <a:prstGeom prst="rect">
                            <a:avLst/>
                          </a:prstGeom>
                          <a:noFill/>
                          <a:ln>
                            <a:noFill/>
                          </a:ln>
                        </pic:spPr>
                      </pic:pic>
                    </a:graphicData>
                  </a:graphic>
                </wp:inline>
              </w:drawing>
            </w:r>
            <w:r>
              <w:drawing>
                <wp:inline distT="0" distB="0" distL="114300" distR="114300">
                  <wp:extent cx="1519555" cy="2228850"/>
                  <wp:effectExtent l="0" t="0" r="4445" b="635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46"/>
                          <a:stretch>
                            <a:fillRect/>
                          </a:stretch>
                        </pic:blipFill>
                        <pic:spPr>
                          <a:xfrm>
                            <a:off x="0" y="0"/>
                            <a:ext cx="1519555" cy="2228850"/>
                          </a:xfrm>
                          <a:prstGeom prst="rect">
                            <a:avLst/>
                          </a:prstGeom>
                          <a:noFill/>
                          <a:ln>
                            <a:noFill/>
                          </a:ln>
                        </pic:spPr>
                      </pic:pic>
                    </a:graphicData>
                  </a:graphic>
                </wp:inline>
              </w:drawing>
            </w:r>
            <w:r>
              <w:drawing>
                <wp:inline distT="0" distB="0" distL="114300" distR="114300">
                  <wp:extent cx="1638300" cy="2227580"/>
                  <wp:effectExtent l="0" t="0" r="0" b="762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47"/>
                          <a:stretch>
                            <a:fillRect/>
                          </a:stretch>
                        </pic:blipFill>
                        <pic:spPr>
                          <a:xfrm>
                            <a:off x="0" y="0"/>
                            <a:ext cx="1638300" cy="2227580"/>
                          </a:xfrm>
                          <a:prstGeom prst="rect">
                            <a:avLst/>
                          </a:prstGeom>
                          <a:noFill/>
                          <a:ln>
                            <a:noFill/>
                          </a:ln>
                        </pic:spPr>
                      </pic:pic>
                    </a:graphicData>
                  </a:graphic>
                </wp:inline>
              </w:drawing>
            </w:r>
          </w:p>
          <w:p>
            <w:pPr>
              <w:spacing w:line="360" w:lineRule="auto"/>
              <w:ind w:firstLine="210" w:firstLineChars="100"/>
              <w:rPr>
                <w:rFonts w:hint="eastAsia" w:asciiTheme="minorEastAsia" w:hAnsiTheme="minorEastAsia" w:eastAsiaTheme="minorEastAsia" w:cstheme="minorEastAsia"/>
                <w:kern w:val="0"/>
                <w:szCs w:val="21"/>
              </w:rPr>
            </w:pPr>
            <w:r>
              <w:drawing>
                <wp:anchor distT="0" distB="0" distL="114300" distR="114300" simplePos="0" relativeHeight="251672576" behindDoc="0" locked="0" layoutInCell="1" allowOverlap="1">
                  <wp:simplePos x="0" y="0"/>
                  <wp:positionH relativeFrom="column">
                    <wp:posOffset>3321050</wp:posOffset>
                  </wp:positionH>
                  <wp:positionV relativeFrom="paragraph">
                    <wp:posOffset>267970</wp:posOffset>
                  </wp:positionV>
                  <wp:extent cx="1830070" cy="2127885"/>
                  <wp:effectExtent l="0" t="0" r="11430" b="5715"/>
                  <wp:wrapNone/>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48"/>
                          <a:stretch>
                            <a:fillRect/>
                          </a:stretch>
                        </pic:blipFill>
                        <pic:spPr>
                          <a:xfrm>
                            <a:off x="0" y="0"/>
                            <a:ext cx="1830070" cy="212788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1714500</wp:posOffset>
                  </wp:positionH>
                  <wp:positionV relativeFrom="paragraph">
                    <wp:posOffset>271780</wp:posOffset>
                  </wp:positionV>
                  <wp:extent cx="1524000" cy="2127885"/>
                  <wp:effectExtent l="0" t="0" r="0" b="5715"/>
                  <wp:wrapNone/>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49"/>
                          <a:stretch>
                            <a:fillRect/>
                          </a:stretch>
                        </pic:blipFill>
                        <pic:spPr>
                          <a:xfrm>
                            <a:off x="0" y="0"/>
                            <a:ext cx="1524000" cy="212788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44450</wp:posOffset>
                  </wp:positionH>
                  <wp:positionV relativeFrom="paragraph">
                    <wp:posOffset>246380</wp:posOffset>
                  </wp:positionV>
                  <wp:extent cx="1497965" cy="2159000"/>
                  <wp:effectExtent l="0" t="0" r="635" b="0"/>
                  <wp:wrapNone/>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50"/>
                          <a:stretch>
                            <a:fillRect/>
                          </a:stretch>
                        </pic:blipFill>
                        <pic:spPr>
                          <a:xfrm>
                            <a:off x="0" y="0"/>
                            <a:ext cx="1497965" cy="2159000"/>
                          </a:xfrm>
                          <a:prstGeom prst="rect">
                            <a:avLst/>
                          </a:prstGeom>
                          <a:noFill/>
                          <a:ln>
                            <a:noFill/>
                          </a:ln>
                        </pic:spPr>
                      </pic:pic>
                    </a:graphicData>
                  </a:graphic>
                </wp:anchor>
              </w:drawing>
            </w: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ind w:firstLine="210" w:firstLineChars="100"/>
              <w:rPr>
                <w:rFonts w:hint="eastAsia" w:asciiTheme="minorEastAsia" w:hAnsiTheme="minorEastAsia" w:eastAsiaTheme="minorEastAsia" w:cstheme="minorEastAsia"/>
                <w:kern w:val="0"/>
                <w:szCs w:val="21"/>
              </w:rPr>
            </w:pPr>
          </w:p>
          <w:p>
            <w:pPr>
              <w:spacing w:line="360" w:lineRule="auto"/>
              <w:rPr>
                <w:rFonts w:ascii="宋体" w:hAnsi="宋体" w:cs="宋体"/>
                <w:szCs w:val="21"/>
              </w:rPr>
            </w:pPr>
            <w:r>
              <w:rPr>
                <w:rFonts w:hint="eastAsia" w:asciiTheme="minorEastAsia" w:hAnsiTheme="minorEastAsia" w:eastAsiaTheme="minorEastAsia" w:cstheme="minorEastAsia"/>
                <w:kern w:val="0"/>
                <w:szCs w:val="21"/>
              </w:rPr>
              <w:t>产品交付后，销售部为归口部门，详见销售部检查表。</w:t>
            </w:r>
          </w:p>
          <w:p>
            <w:pPr>
              <w:spacing w:line="360" w:lineRule="auto"/>
              <w:ind w:firstLine="210" w:firstLineChars="100"/>
              <w:rPr>
                <w:rFonts w:hint="eastAsia" w:ascii="宋体" w:hAnsi="宋体" w:cs="宋体"/>
                <w:szCs w:val="21"/>
              </w:rPr>
            </w:pPr>
            <w:r>
              <w:rPr>
                <w:rFonts w:hint="eastAsia" w:ascii="宋体" w:hAnsi="宋体" w:cs="宋体"/>
                <w:szCs w:val="21"/>
              </w:rPr>
              <w:t>查：公司授权：苏一凡、周杨海为检验员。总经理：杨大忠 。20</w:t>
            </w:r>
            <w:r>
              <w:rPr>
                <w:rFonts w:hint="eastAsia" w:ascii="宋体" w:hAnsi="宋体" w:cs="宋体"/>
                <w:szCs w:val="21"/>
                <w:lang w:val="en-US" w:eastAsia="zh-CN"/>
              </w:rPr>
              <w:t>20</w:t>
            </w:r>
            <w:r>
              <w:rPr>
                <w:rFonts w:hint="eastAsia" w:ascii="宋体" w:hAnsi="宋体" w:cs="宋体"/>
                <w:szCs w:val="21"/>
              </w:rPr>
              <w:t>年1月30日。</w:t>
            </w:r>
          </w:p>
          <w:p>
            <w:pPr>
              <w:rPr>
                <w:rFonts w:hint="eastAsia" w:ascii="宋体" w:hAnsi="宋体" w:cs="宋体"/>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r>
              <w:rPr>
                <w:rFonts w:hint="eastAsia"/>
              </w:rPr>
              <w:t>不合格输出的控制</w:t>
            </w:r>
          </w:p>
        </w:tc>
        <w:tc>
          <w:tcPr>
            <w:tcW w:w="960" w:type="dxa"/>
          </w:tcPr>
          <w:p>
            <w:pPr>
              <w:pStyle w:val="8"/>
              <w:spacing w:line="360" w:lineRule="auto"/>
              <w:ind w:firstLine="0" w:firstLineChars="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Q8.7</w:t>
            </w:r>
          </w:p>
          <w:p/>
        </w:tc>
        <w:tc>
          <w:tcPr>
            <w:tcW w:w="10738" w:type="dxa"/>
          </w:tcPr>
          <w:p>
            <w:pPr>
              <w:numPr>
                <w:ilvl w:val="0"/>
                <w:numId w:val="7"/>
              </w:numPr>
              <w:spacing w:line="360" w:lineRule="auto"/>
              <w:rPr>
                <w:rFonts w:ascii="宋体" w:hAnsi="宋体" w:cs="宋体"/>
                <w:szCs w:val="21"/>
              </w:rPr>
            </w:pPr>
            <w:r>
              <w:rPr>
                <w:rFonts w:hint="eastAsia" w:ascii="宋体" w:hAnsi="宋体" w:cs="宋体"/>
                <w:szCs w:val="21"/>
              </w:rPr>
              <w:t>公司制定有ZYFS-CX-24—20</w:t>
            </w:r>
            <w:r>
              <w:rPr>
                <w:rFonts w:hint="eastAsia" w:ascii="宋体" w:hAnsi="宋体" w:cs="宋体"/>
                <w:szCs w:val="21"/>
                <w:lang w:val="en-US" w:eastAsia="zh-CN"/>
              </w:rPr>
              <w:t>20</w:t>
            </w:r>
            <w:r>
              <w:rPr>
                <w:rFonts w:hint="eastAsia" w:ascii="宋体" w:hAnsi="宋体" w:cs="宋体"/>
                <w:szCs w:val="21"/>
              </w:rPr>
              <w:t>《不合格品纠正、预防措施管理程序》，以实施对生产全过程不合格品处置的控制。生产过程中发现不合格，执行ZYFS-CX-24—20</w:t>
            </w:r>
            <w:r>
              <w:rPr>
                <w:rFonts w:hint="eastAsia" w:ascii="宋体" w:hAnsi="宋体" w:cs="宋体"/>
                <w:szCs w:val="21"/>
                <w:lang w:val="en-US" w:eastAsia="zh-CN"/>
              </w:rPr>
              <w:t>20</w:t>
            </w:r>
            <w:r>
              <w:rPr>
                <w:rFonts w:hint="eastAsia" w:ascii="宋体" w:hAnsi="宋体" w:cs="宋体"/>
                <w:szCs w:val="21"/>
              </w:rPr>
              <w:t>不合格品控制程序》。</w:t>
            </w:r>
          </w:p>
          <w:p>
            <w:pPr>
              <w:spacing w:line="360" w:lineRule="auto"/>
              <w:rPr>
                <w:rFonts w:ascii="宋体" w:hAnsi="宋体" w:cs="宋体"/>
                <w:szCs w:val="21"/>
              </w:rPr>
            </w:pPr>
            <w:r>
              <w:rPr>
                <w:rFonts w:hint="eastAsia" w:ascii="宋体" w:hAnsi="宋体" w:cs="宋体"/>
                <w:szCs w:val="21"/>
              </w:rPr>
              <w:t>抽查《不合格品处理报告》：</w:t>
            </w:r>
          </w:p>
          <w:p>
            <w:pPr>
              <w:spacing w:line="360" w:lineRule="auto"/>
              <w:rPr>
                <w:rFonts w:ascii="宋体" w:hAnsi="宋体" w:cs="宋体"/>
                <w:szCs w:val="21"/>
              </w:rPr>
            </w:pPr>
            <w:r>
              <w:rPr>
                <w:rFonts w:hint="eastAsia" w:ascii="宋体" w:hAnsi="宋体" w:cs="宋体"/>
                <w:szCs w:val="21"/>
              </w:rPr>
              <w:t>不合格品名称：弹性体（SBS）改性沥青防水卷材，型号规格：SBS I PY PE 310，数量：20，不合格描述： 低温柔性不合格要求，检验员/日期：杨斌   20</w:t>
            </w:r>
            <w:r>
              <w:rPr>
                <w:rFonts w:hint="eastAsia" w:ascii="宋体" w:hAnsi="宋体" w:cs="宋体"/>
                <w:szCs w:val="21"/>
                <w:lang w:val="en-US" w:eastAsia="zh-CN"/>
              </w:rPr>
              <w:t>20</w:t>
            </w:r>
            <w:r>
              <w:rPr>
                <w:rFonts w:hint="eastAsia" w:ascii="宋体" w:hAnsi="宋体" w:cs="宋体"/>
                <w:szCs w:val="21"/>
              </w:rPr>
              <w:t>.12.16</w:t>
            </w:r>
          </w:p>
          <w:p>
            <w:pPr>
              <w:spacing w:line="360" w:lineRule="auto"/>
              <w:rPr>
                <w:rFonts w:ascii="宋体" w:hAnsi="宋体" w:cs="宋体"/>
                <w:szCs w:val="21"/>
              </w:rPr>
            </w:pPr>
            <w:r>
              <w:rPr>
                <w:rFonts w:hint="eastAsia" w:ascii="宋体" w:hAnsi="宋体" w:cs="宋体"/>
                <w:szCs w:val="21"/>
              </w:rPr>
              <w:t>不符合原因分析： 沥青等原材料投入比例有误，分析人/日期： 周杨海  20</w:t>
            </w:r>
            <w:r>
              <w:rPr>
                <w:rFonts w:hint="eastAsia" w:ascii="宋体" w:hAnsi="宋体" w:cs="宋体"/>
                <w:szCs w:val="21"/>
                <w:lang w:val="en-US" w:eastAsia="zh-CN"/>
              </w:rPr>
              <w:t>20</w:t>
            </w:r>
            <w:r>
              <w:rPr>
                <w:rFonts w:hint="eastAsia" w:ascii="宋体" w:hAnsi="宋体" w:cs="宋体"/>
                <w:szCs w:val="21"/>
              </w:rPr>
              <w:t>.12.16</w:t>
            </w:r>
          </w:p>
          <w:p>
            <w:pPr>
              <w:spacing w:line="360" w:lineRule="auto"/>
              <w:rPr>
                <w:rFonts w:ascii="宋体" w:hAnsi="宋体" w:cs="宋体"/>
                <w:szCs w:val="21"/>
              </w:rPr>
            </w:pPr>
            <w:r>
              <w:rPr>
                <w:rFonts w:ascii="宋体" w:hAnsi="宋体" w:cs="宋体"/>
                <w:szCs w:val="21"/>
              </w:rPr>
              <w:t>处理意见</w:t>
            </w:r>
            <w:r>
              <w:rPr>
                <w:rFonts w:hint="eastAsia" w:ascii="宋体" w:hAnsi="宋体" w:cs="宋体"/>
                <w:szCs w:val="21"/>
              </w:rPr>
              <w:t>：修正沥青等原材料投入比例，生产部/日期： 朱永华  20</w:t>
            </w:r>
            <w:r>
              <w:rPr>
                <w:rFonts w:hint="eastAsia" w:ascii="宋体" w:hAnsi="宋体" w:cs="宋体"/>
                <w:szCs w:val="21"/>
                <w:lang w:val="en-US" w:eastAsia="zh-CN"/>
              </w:rPr>
              <w:t>20</w:t>
            </w:r>
            <w:r>
              <w:rPr>
                <w:rFonts w:hint="eastAsia" w:ascii="宋体" w:hAnsi="宋体" w:cs="宋体"/>
                <w:szCs w:val="21"/>
              </w:rPr>
              <w:t>.12.</w:t>
            </w:r>
          </w:p>
          <w:p>
            <w:pPr>
              <w:spacing w:line="360" w:lineRule="auto"/>
              <w:rPr>
                <w:rFonts w:ascii="宋体" w:hAnsi="宋体" w:cs="宋体"/>
                <w:szCs w:val="21"/>
              </w:rPr>
            </w:pPr>
            <w:r>
              <w:rPr>
                <w:rFonts w:hint="eastAsia" w:ascii="宋体" w:hAnsi="宋体" w:cs="宋体"/>
                <w:szCs w:val="21"/>
              </w:rPr>
              <w:t>处理结果及验证结果：已修正， 验证人/日期：杨大忠   20</w:t>
            </w:r>
            <w:r>
              <w:rPr>
                <w:rFonts w:hint="eastAsia" w:ascii="宋体" w:hAnsi="宋体" w:cs="宋体"/>
                <w:szCs w:val="21"/>
                <w:lang w:val="en-US" w:eastAsia="zh-CN"/>
              </w:rPr>
              <w:t>20</w:t>
            </w:r>
            <w:r>
              <w:rPr>
                <w:rFonts w:hint="eastAsia" w:ascii="宋体" w:hAnsi="宋体" w:cs="宋体"/>
                <w:szCs w:val="21"/>
              </w:rPr>
              <w:t>.12.18</w:t>
            </w:r>
          </w:p>
          <w:p>
            <w:pPr>
              <w:spacing w:line="360" w:lineRule="auto"/>
              <w:rPr>
                <w:rFonts w:ascii="宋体" w:hAnsi="宋体" w:cs="宋体"/>
                <w:szCs w:val="21"/>
              </w:rPr>
            </w:pPr>
            <w:r>
              <w:rPr>
                <w:rFonts w:hint="eastAsia" w:ascii="宋体" w:hAnsi="宋体" w:cs="宋体"/>
                <w:szCs w:val="21"/>
              </w:rPr>
              <w:t>采购材料发现不合格时，通知采购人员，对不合格的采购材料进行隔离，一般情况下进行退货处理，未发生过让步使用的情况。</w:t>
            </w:r>
          </w:p>
          <w:p>
            <w:pPr>
              <w:spacing w:line="360" w:lineRule="auto"/>
              <w:rPr>
                <w:rFonts w:ascii="宋体" w:hAnsi="宋体" w:cs="宋体"/>
                <w:szCs w:val="21"/>
              </w:rPr>
            </w:pPr>
            <w:r>
              <w:rPr>
                <w:rFonts w:hint="eastAsia" w:ascii="宋体" w:hAnsi="宋体" w:cs="宋体"/>
                <w:szCs w:val="21"/>
              </w:rPr>
              <w:t>2、 经了解，未发生让步接收的情况。</w:t>
            </w:r>
          </w:p>
          <w:p>
            <w:pPr>
              <w:rPr>
                <w:rFonts w:hint="eastAsia" w:ascii="宋体" w:hAnsi="宋体" w:cs="宋体"/>
                <w:szCs w:val="21"/>
              </w:rPr>
            </w:pPr>
            <w:r>
              <w:rPr>
                <w:rFonts w:hint="eastAsia" w:ascii="宋体" w:hAnsi="宋体" w:cs="宋体"/>
                <w:szCs w:val="21"/>
              </w:rPr>
              <w:t>3、经了解，目前尚未发生交付后或使用后才发现的产品不合格情况</w:t>
            </w:r>
          </w:p>
          <w:p>
            <w:pPr>
              <w:rPr>
                <w:rFonts w:hint="eastAsia" w:ascii="宋体" w:hAnsi="宋体" w:cs="宋体"/>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r>
              <w:rPr>
                <w:rFonts w:hint="eastAsia"/>
              </w:rPr>
              <w:t>监视、测量、分析、评价</w:t>
            </w:r>
          </w:p>
        </w:tc>
        <w:tc>
          <w:tcPr>
            <w:tcW w:w="960" w:type="dxa"/>
          </w:tcPr>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QES9.1.1</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Q9.1.3</w:t>
            </w:r>
          </w:p>
          <w:p>
            <w:pPr>
              <w:pStyle w:val="8"/>
              <w:spacing w:line="360" w:lineRule="auto"/>
              <w:ind w:firstLine="0" w:firstLineChars="0"/>
              <w:rPr>
                <w:rFonts w:asciiTheme="minorEastAsia" w:hAnsiTheme="minorEastAsia" w:eastAsiaTheme="minorEastAsia" w:cstheme="minorEastAsia"/>
                <w:color w:val="auto"/>
                <w:sz w:val="21"/>
                <w:szCs w:val="21"/>
              </w:rPr>
            </w:pPr>
          </w:p>
          <w:p/>
        </w:tc>
        <w:tc>
          <w:tcPr>
            <w:tcW w:w="10738" w:type="dxa"/>
          </w:tcPr>
          <w:p>
            <w:pPr>
              <w:spacing w:line="360" w:lineRule="auto"/>
              <w:rPr>
                <w:rFonts w:ascii="宋体" w:hAnsi="宋体" w:cs="宋体"/>
                <w:szCs w:val="21"/>
              </w:rPr>
            </w:pPr>
            <w:r>
              <w:rPr>
                <w:rFonts w:hint="eastAsia" w:ascii="宋体" w:hAnsi="宋体" w:cs="宋体"/>
                <w:szCs w:val="21"/>
              </w:rPr>
              <w:t>1、 查到《管理手册》，规定了有关数据分析评价的内容，符合标准要求。</w:t>
            </w:r>
          </w:p>
          <w:p>
            <w:pPr>
              <w:spacing w:line="360" w:lineRule="auto"/>
              <w:rPr>
                <w:rFonts w:ascii="宋体" w:hAnsi="宋体" w:cs="宋体"/>
                <w:szCs w:val="21"/>
              </w:rPr>
            </w:pPr>
            <w:r>
              <w:rPr>
                <w:rFonts w:hint="eastAsia" w:ascii="宋体" w:hAnsi="宋体" w:cs="宋体"/>
                <w:szCs w:val="21"/>
              </w:rPr>
              <w:t xml:space="preserve">    负责人回答：对数据分析评价的方法和内容进行规定。经了解，生产部常用数据分析方法主要有直方图、因果分析、鱼刺图、排列图、对策表等法。所收集信息包括材料供方、顾客满意率、产品质量等。</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2、 查到《分析报告》，对产品的质量情况、顾客满意度情况、体系的绩效和有效性、措施的有效性、外部供方的绩效、改进需求等进行数据总结，采用直方图、因果分析、鱼刺图、排列图、对策表等方法进行分析。</w:t>
            </w:r>
          </w:p>
          <w:p>
            <w:pPr>
              <w:spacing w:line="360" w:lineRule="auto"/>
              <w:rPr>
                <w:rFonts w:ascii="宋体" w:hAnsi="宋体" w:cs="宋体"/>
                <w:szCs w:val="21"/>
              </w:rPr>
            </w:pPr>
            <w:r>
              <w:rPr>
                <w:rFonts w:hint="eastAsia" w:ascii="宋体" w:hAnsi="宋体" w:cs="宋体"/>
                <w:szCs w:val="21"/>
              </w:rPr>
              <w:t xml:space="preserve">    查到目标指标的完成情况，形成了相关的材料证实，并输入到了管理评审中。</w:t>
            </w:r>
          </w:p>
          <w:p>
            <w:pPr>
              <w:spacing w:line="360" w:lineRule="auto"/>
              <w:ind w:firstLine="420"/>
              <w:rPr>
                <w:rFonts w:hint="eastAsia" w:ascii="宋体" w:hAnsi="宋体" w:cs="宋体"/>
                <w:szCs w:val="21"/>
              </w:rPr>
            </w:pPr>
            <w:r>
              <w:rPr>
                <w:rFonts w:hint="eastAsia" w:ascii="宋体" w:hAnsi="宋体" w:cs="宋体"/>
                <w:szCs w:val="21"/>
              </w:rPr>
              <w:t>以上统计技术的应用和数据分析的实施情况证实，基本符合标准要求，均实施了有效性的评价，通过数据分析，为质量管理体系有关过程的改进提供机会</w:t>
            </w:r>
          </w:p>
          <w:p>
            <w:pPr>
              <w:rPr>
                <w:rFonts w:hint="eastAsia" w:ascii="宋体" w:hAnsi="宋体" w:cs="宋体"/>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tabs>
                <w:tab w:val="left" w:pos="9720"/>
                <w:tab w:val="left" w:pos="9900"/>
              </w:tabs>
              <w:spacing w:beforeLines="20" w:afterLines="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事件调查、不符合、纠正措施和预防措施</w:t>
            </w:r>
          </w:p>
          <w:p>
            <w:pPr>
              <w:tabs>
                <w:tab w:val="left" w:pos="9720"/>
                <w:tab w:val="left" w:pos="9900"/>
              </w:tabs>
              <w:spacing w:beforeLines="20" w:afterLines="20"/>
              <w:rPr>
                <w:rFonts w:asciiTheme="minorEastAsia" w:hAnsiTheme="minorEastAsia" w:eastAsiaTheme="minorEastAsia" w:cstheme="minorEastAsia"/>
                <w:szCs w:val="21"/>
              </w:rPr>
            </w:pPr>
          </w:p>
          <w:p>
            <w:pPr>
              <w:tabs>
                <w:tab w:val="left" w:pos="9720"/>
                <w:tab w:val="left" w:pos="9900"/>
              </w:tabs>
              <w:spacing w:beforeLines="20" w:afterLines="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持续改进</w:t>
            </w:r>
          </w:p>
          <w:p>
            <w:pPr>
              <w:spacing w:line="280" w:lineRule="exact"/>
              <w:rPr>
                <w:rFonts w:asciiTheme="minorEastAsia" w:hAnsiTheme="minorEastAsia" w:eastAsiaTheme="minorEastAsia" w:cstheme="minorEastAsia"/>
                <w:szCs w:val="21"/>
              </w:rPr>
            </w:pPr>
          </w:p>
        </w:tc>
        <w:tc>
          <w:tcPr>
            <w:tcW w:w="960" w:type="dxa"/>
          </w:tcPr>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QES10.2</w:t>
            </w:r>
          </w:p>
          <w:p>
            <w:pPr>
              <w:spacing w:line="360" w:lineRule="auto"/>
              <w:ind w:left="310" w:hanging="310" w:hangingChars="147"/>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QES10.3</w:t>
            </w:r>
          </w:p>
          <w:p>
            <w:pPr>
              <w:spacing w:line="360" w:lineRule="auto"/>
              <w:rPr>
                <w:rFonts w:asciiTheme="minorEastAsia" w:hAnsiTheme="minorEastAsia" w:eastAsiaTheme="minorEastAsia" w:cstheme="minorEastAsia"/>
                <w:szCs w:val="21"/>
              </w:rPr>
            </w:pPr>
          </w:p>
          <w:p>
            <w:pPr>
              <w:spacing w:line="280" w:lineRule="exact"/>
              <w:rPr>
                <w:rFonts w:asciiTheme="minorEastAsia" w:hAnsiTheme="minorEastAsia" w:eastAsiaTheme="minorEastAsia" w:cstheme="minorEastAsia"/>
                <w:szCs w:val="21"/>
              </w:rPr>
            </w:pPr>
          </w:p>
        </w:tc>
        <w:tc>
          <w:tcPr>
            <w:tcW w:w="10738" w:type="dxa"/>
            <w:vAlign w:val="center"/>
          </w:tcPr>
          <w:p>
            <w:pPr>
              <w:spacing w:line="4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试验室对已经识别的一般比较轻微问题或不符合采取纠正的办法，比较有影响或典型的问题则采取纠正措施予以控制。根据以往的经验或者针对施工过程的现场管理要求、安全及环保要求识别和确定潜在的不符合，有针对性地制定预防措施。使试验室管理和员工健康得到重视或关注。公司的试验室通过班前会、安全技术交底活动、工地现场会的形式贯彻实施预防措施，实施的效果比较好。</w:t>
            </w:r>
          </w:p>
          <w:p>
            <w:pPr>
              <w:spacing w:line="400" w:lineRule="exac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查到ZYFS-CX-25—20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《事件、不符合及纠正措施管理程序》，见程序文件确定的纠正/预防措施的控制的职责和相关的管理要求，覆盖标准要求，体系建立以来未发生更改变化，基本符合。</w:t>
            </w:r>
          </w:p>
          <w:p>
            <w:pPr>
              <w:spacing w:line="400" w:lineRule="exac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5-7月《环安运行检查表》，检查内容包括消防器材如消防栓、灭火器、报警器、应急灯等配置及其状态是否正常,工人是否正确穿戴劳动防护用品;危险固废是否严格归类、保管和处置，一般固废的分类收集是否合乎规范;厂区、车间、办公区的环境卫生状况；是否有违章吸烟和违章用火/电情况；危险化学品的管理是否规范；车间和仓库物料的分类和堆放是否合理，存储条件是否合规，消防通道是否畅通，安全标识是否齐全、完好；生产车间和仓库的“5S”管理情况等。</w:t>
            </w:r>
          </w:p>
          <w:p>
            <w:pPr>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经了解，所有措施没有引发在策划期间确定的风险和机遇的更新，也没有引发质量管理体系的变更，实施情况基本符合标准的要求。</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环境因素的识别、评价；危险源辨识、风险评价和控制措施的确定</w:t>
            </w:r>
          </w:p>
          <w:p>
            <w:pPr>
              <w:rPr>
                <w:rFonts w:asciiTheme="minorEastAsia" w:hAnsiTheme="minorEastAsia" w:eastAsiaTheme="minorEastAsia" w:cstheme="minorEastAsia"/>
                <w:szCs w:val="21"/>
              </w:rPr>
            </w:pPr>
          </w:p>
        </w:tc>
        <w:tc>
          <w:tcPr>
            <w:tcW w:w="960" w:type="dxa"/>
          </w:tcPr>
          <w:p>
            <w:pPr>
              <w:jc w:val="lef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 xml:space="preserve">ES6.1.2 </w:t>
            </w:r>
          </w:p>
          <w:p>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ES6.1.4</w:t>
            </w:r>
          </w:p>
        </w:tc>
        <w:tc>
          <w:tcPr>
            <w:tcW w:w="10738" w:type="dxa"/>
          </w:tcPr>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生产部经理杨斌述：公司制订《环境因素识别与评价控制程序》和《危险源识别与风险评价控制程序》，生产部根据自粘聚合物改性沥青防水卷材和弹性体改性沥青防水卷材的生产过程及工作特点对涉及的环境因素、危险源进行了识别和辨识。</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在公司编制的</w:t>
            </w:r>
            <w:r>
              <w:rPr>
                <w:rFonts w:asciiTheme="minorEastAsia" w:hAnsiTheme="minorEastAsia" w:eastAsiaTheme="minorEastAsia" w:cstheme="minorEastAsia"/>
                <w:bCs/>
                <w:szCs w:val="21"/>
              </w:rPr>
              <w:t>”</w:t>
            </w:r>
            <w:r>
              <w:rPr>
                <w:rFonts w:hint="eastAsia" w:asciiTheme="minorEastAsia" w:hAnsiTheme="minorEastAsia" w:eastAsiaTheme="minorEastAsia" w:cstheme="minorEastAsia"/>
                <w:bCs/>
                <w:szCs w:val="21"/>
              </w:rPr>
              <w:t>环境因素识别与评价控制程序</w:t>
            </w:r>
            <w:r>
              <w:rPr>
                <w:rFonts w:asciiTheme="minorEastAsia" w:hAnsiTheme="minorEastAsia" w:eastAsiaTheme="minorEastAsia" w:cstheme="minorEastAsia"/>
                <w:bCs/>
                <w:szCs w:val="21"/>
              </w:rPr>
              <w:t>”</w:t>
            </w:r>
            <w:r>
              <w:rPr>
                <w:rFonts w:hint="eastAsia" w:asciiTheme="minorEastAsia" w:hAnsiTheme="minorEastAsia" w:eastAsiaTheme="minorEastAsia" w:cstheme="minorEastAsia"/>
                <w:bCs/>
                <w:szCs w:val="21"/>
              </w:rPr>
              <w:t>中，对环境因素识别和评价的目的、职责、工作程序和记录的要求均有明确的规定。</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查到《环境因素识别评价表》：已识别生产场所的环境因素产生过程包括：原料的使用、沥青加热、沥青配置、空压机的使用、原料清理、包装运输、设备维修</w:t>
            </w:r>
            <w:r>
              <w:rPr>
                <w:rFonts w:hint="eastAsia" w:ascii="宋体" w:hAnsi="宋体" w:cs="宋体"/>
                <w:kern w:val="0"/>
                <w:szCs w:val="21"/>
              </w:rPr>
              <w:t>等过程中粉尘的排放，噪声的排放，能源的消耗，废水、废渣的排放、固废的废弃等，在环境评价过程中</w:t>
            </w:r>
            <w:r>
              <w:rPr>
                <w:rFonts w:hint="eastAsia" w:asciiTheme="minorEastAsia" w:hAnsiTheme="minorEastAsia" w:eastAsiaTheme="minorEastAsia" w:cstheme="minorEastAsia"/>
                <w:bCs/>
                <w:szCs w:val="21"/>
              </w:rPr>
              <w:t>考虑到环境影响、三种时态和三种状态等。使用分级评分的方式。基本合理。</w:t>
            </w:r>
          </w:p>
          <w:p>
            <w:pPr>
              <w:spacing w:line="400" w:lineRule="exact"/>
              <w:ind w:firstLine="420" w:firstLineChars="200"/>
              <w:rPr>
                <w:rFonts w:ascii="宋体" w:hAnsi="宋体" w:cs="宋体"/>
                <w:szCs w:val="21"/>
              </w:rPr>
            </w:pPr>
            <w:r>
              <w:rPr>
                <w:rFonts w:hint="eastAsia" w:asciiTheme="minorEastAsia" w:hAnsiTheme="minorEastAsia" w:eastAsiaTheme="minorEastAsia" w:cstheme="minorEastAsia"/>
                <w:bCs/>
                <w:szCs w:val="21"/>
              </w:rPr>
              <w:t>参加环境</w:t>
            </w:r>
            <w:r>
              <w:rPr>
                <w:rFonts w:hint="eastAsia" w:ascii="宋体" w:hAnsi="宋体" w:cs="宋体"/>
                <w:szCs w:val="21"/>
              </w:rPr>
              <w:t>因素辨识和评价人员：  编制 体系小组   审批 杨大忠   日期：20</w:t>
            </w:r>
            <w:r>
              <w:rPr>
                <w:rFonts w:hint="eastAsia" w:ascii="宋体" w:hAnsi="宋体" w:cs="宋体"/>
                <w:szCs w:val="21"/>
                <w:lang w:val="en-US" w:eastAsia="zh-CN"/>
              </w:rPr>
              <w:t>20</w:t>
            </w:r>
            <w:r>
              <w:rPr>
                <w:rFonts w:hint="eastAsia" w:ascii="宋体" w:hAnsi="宋体" w:cs="宋体"/>
                <w:szCs w:val="21"/>
              </w:rPr>
              <w:t xml:space="preserve">年1月15日 </w:t>
            </w:r>
          </w:p>
          <w:p>
            <w:pPr>
              <w:spacing w:line="400" w:lineRule="exact"/>
              <w:ind w:firstLine="420" w:firstLineChars="200"/>
              <w:rPr>
                <w:rFonts w:ascii="宋体" w:hAnsi="宋体" w:cs="宋体"/>
                <w:szCs w:val="21"/>
              </w:rPr>
            </w:pPr>
            <w:r>
              <w:rPr>
                <w:rFonts w:hint="eastAsia" w:ascii="宋体" w:hAnsi="宋体" w:cs="宋体"/>
                <w:szCs w:val="21"/>
              </w:rPr>
              <w:t>查到《重要环境因素清单》已识别重要环境因素包括：粉尘的排放、噪声的排放，明确的控制措施和责任部门，</w:t>
            </w:r>
          </w:p>
          <w:p>
            <w:pPr>
              <w:spacing w:line="400" w:lineRule="exact"/>
              <w:ind w:firstLine="420" w:firstLineChars="200"/>
              <w:rPr>
                <w:rFonts w:ascii="宋体" w:hAnsi="宋体" w:cs="宋体"/>
                <w:szCs w:val="21"/>
              </w:rPr>
            </w:pPr>
            <w:r>
              <w:rPr>
                <w:rFonts w:hint="eastAsia" w:ascii="宋体" w:hAnsi="宋体" w:cs="宋体"/>
                <w:szCs w:val="21"/>
              </w:rPr>
              <w:t>基本合理。</w:t>
            </w:r>
          </w:p>
          <w:p>
            <w:pPr>
              <w:spacing w:line="400" w:lineRule="exact"/>
              <w:ind w:firstLine="420" w:firstLineChars="200"/>
              <w:rPr>
                <w:rFonts w:ascii="宋体" w:hAnsi="宋体" w:cs="宋体"/>
                <w:szCs w:val="21"/>
              </w:rPr>
            </w:pPr>
            <w:r>
              <w:rPr>
                <w:rFonts w:hint="eastAsia" w:ascii="宋体" w:hAnsi="宋体" w:cs="宋体"/>
                <w:szCs w:val="21"/>
              </w:rPr>
              <w:t>查到《危险源辨识与评价一览表》，内容有：作业活动名称、潜在危险因素、时态、状态、可导致事故、可采取控制措施、危险发生的可能性L、损失后果C、频繁程度E、等。识别出生产部危险源有：触电、火灾、机械伤害、听力损害、爆炸、高空坠落、中毒、职业病、人身伤害等。优先控制风险采用“LEC”方法进行评价。提供《不可接受风险清单》有：废气；爆炸；烫伤，并制定有控制措施。</w:t>
            </w:r>
          </w:p>
          <w:p>
            <w:pPr>
              <w:spacing w:line="400" w:lineRule="exact"/>
              <w:ind w:firstLine="420" w:firstLineChars="200"/>
              <w:rPr>
                <w:rFonts w:hint="eastAsia" w:ascii="宋体" w:hAnsi="宋体" w:cs="宋体"/>
                <w:szCs w:val="21"/>
              </w:rPr>
            </w:pPr>
            <w:r>
              <w:rPr>
                <w:rFonts w:hint="eastAsia" w:ascii="宋体" w:hAnsi="宋体" w:cs="宋体"/>
                <w:szCs w:val="21"/>
              </w:rPr>
              <w:t>评价人：体系小组  审批：杨大忠，   日期：20</w:t>
            </w:r>
            <w:r>
              <w:rPr>
                <w:rFonts w:hint="eastAsia" w:ascii="宋体" w:hAnsi="宋体" w:cs="宋体"/>
                <w:szCs w:val="21"/>
                <w:lang w:val="en-US" w:eastAsia="zh-CN"/>
              </w:rPr>
              <w:t>20</w:t>
            </w:r>
            <w:r>
              <w:rPr>
                <w:rFonts w:hint="eastAsia" w:ascii="宋体" w:hAnsi="宋体" w:cs="宋体"/>
                <w:szCs w:val="21"/>
              </w:rPr>
              <w:t>年1月15日 。以上危险源识别基本全面、无遗漏，评价基本合理。</w:t>
            </w:r>
          </w:p>
          <w:p>
            <w:pPr>
              <w:rPr>
                <w:rFonts w:hint="eastAsia" w:ascii="宋体" w:hAnsi="宋体" w:cs="宋体"/>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2160" w:type="dxa"/>
          </w:tcPr>
          <w:p>
            <w:pPr>
              <w:tabs>
                <w:tab w:val="left" w:pos="9720"/>
                <w:tab w:val="left" w:pos="9900"/>
              </w:tabs>
              <w:spacing w:beforeLines="20" w:afterLines="20"/>
              <w:rPr>
                <w:rFonts w:ascii="宋体" w:hAnsi="宋体" w:cs="宋体"/>
                <w:szCs w:val="21"/>
              </w:rPr>
            </w:pPr>
            <w:r>
              <w:rPr>
                <w:rFonts w:hint="eastAsia" w:ascii="宋体" w:hAnsi="宋体" w:cs="宋体"/>
                <w:szCs w:val="21"/>
              </w:rPr>
              <w:t>法律法规和其他要求</w:t>
            </w:r>
          </w:p>
          <w:p>
            <w:pPr>
              <w:spacing w:line="280" w:lineRule="exact"/>
              <w:rPr>
                <w:rFonts w:ascii="宋体" w:hAnsi="宋体" w:cs="宋体"/>
                <w:szCs w:val="21"/>
              </w:rPr>
            </w:pPr>
          </w:p>
          <w:p>
            <w:pPr>
              <w:tabs>
                <w:tab w:val="left" w:pos="9720"/>
                <w:tab w:val="left" w:pos="9900"/>
              </w:tabs>
              <w:spacing w:beforeLines="20" w:afterLines="20"/>
              <w:rPr>
                <w:rFonts w:ascii="宋体" w:hAnsi="宋体" w:cs="宋体"/>
                <w:szCs w:val="21"/>
              </w:rPr>
            </w:pPr>
            <w:r>
              <w:rPr>
                <w:rFonts w:hint="eastAsia" w:ascii="宋体" w:hAnsi="宋体" w:cs="宋体"/>
                <w:szCs w:val="21"/>
              </w:rPr>
              <w:t>合规义务，合规性评价</w:t>
            </w:r>
          </w:p>
        </w:tc>
        <w:tc>
          <w:tcPr>
            <w:tcW w:w="960" w:type="dxa"/>
          </w:tcPr>
          <w:p>
            <w:pPr>
              <w:spacing w:line="360" w:lineRule="auto"/>
              <w:ind w:left="310" w:hanging="310" w:hangingChars="147"/>
              <w:rPr>
                <w:rFonts w:ascii="宋体" w:hAnsi="宋体" w:cs="宋体"/>
                <w:b/>
                <w:bCs/>
                <w:szCs w:val="21"/>
              </w:rPr>
            </w:pPr>
            <w:r>
              <w:rPr>
                <w:rFonts w:hint="eastAsia" w:ascii="宋体" w:hAnsi="宋体" w:cs="宋体"/>
                <w:b/>
                <w:bCs/>
                <w:szCs w:val="21"/>
              </w:rPr>
              <w:t>ES6.1.3</w:t>
            </w:r>
          </w:p>
          <w:p>
            <w:pPr>
              <w:spacing w:line="360" w:lineRule="auto"/>
              <w:ind w:left="310" w:hanging="310" w:hangingChars="147"/>
              <w:rPr>
                <w:rFonts w:ascii="宋体" w:hAnsi="宋体" w:cs="宋体"/>
                <w:b/>
                <w:bCs/>
                <w:szCs w:val="21"/>
              </w:rPr>
            </w:pPr>
          </w:p>
          <w:p>
            <w:pPr>
              <w:spacing w:line="360" w:lineRule="auto"/>
              <w:ind w:left="310" w:hanging="310" w:hangingChars="147"/>
              <w:rPr>
                <w:rFonts w:ascii="宋体" w:hAnsi="宋体" w:cs="宋体"/>
                <w:b/>
                <w:bCs/>
                <w:szCs w:val="21"/>
              </w:rPr>
            </w:pPr>
            <w:r>
              <w:rPr>
                <w:rFonts w:hint="eastAsia" w:ascii="宋体" w:hAnsi="宋体" w:cs="宋体"/>
                <w:b/>
                <w:bCs/>
                <w:szCs w:val="21"/>
              </w:rPr>
              <w:t>ES9.1.2</w:t>
            </w:r>
          </w:p>
          <w:p>
            <w:pPr>
              <w:spacing w:line="360" w:lineRule="auto"/>
              <w:ind w:left="310" w:hanging="310" w:hangingChars="147"/>
              <w:rPr>
                <w:rFonts w:ascii="宋体" w:hAnsi="宋体" w:cs="宋体"/>
                <w:b/>
                <w:bCs/>
                <w:szCs w:val="21"/>
              </w:rPr>
            </w:pPr>
          </w:p>
          <w:p>
            <w:pPr>
              <w:spacing w:line="360" w:lineRule="auto"/>
              <w:ind w:left="310" w:hanging="310" w:hangingChars="147"/>
              <w:rPr>
                <w:rFonts w:ascii="宋体" w:hAnsi="宋体" w:cs="宋体"/>
                <w:b/>
                <w:bCs/>
                <w:szCs w:val="21"/>
              </w:rPr>
            </w:pPr>
          </w:p>
          <w:p>
            <w:pPr>
              <w:pStyle w:val="19"/>
              <w:rPr>
                <w:rFonts w:ascii="宋体" w:hAnsi="宋体" w:cs="宋体"/>
                <w:szCs w:val="21"/>
              </w:rPr>
            </w:pPr>
          </w:p>
        </w:tc>
        <w:tc>
          <w:tcPr>
            <w:tcW w:w="10738" w:type="dxa"/>
            <w:vAlign w:val="center"/>
          </w:tcPr>
          <w:p>
            <w:pPr>
              <w:spacing w:line="400" w:lineRule="exact"/>
              <w:ind w:firstLine="420" w:firstLineChars="200"/>
              <w:rPr>
                <w:rFonts w:ascii="宋体" w:hAnsi="宋体" w:cs="宋体"/>
                <w:szCs w:val="21"/>
              </w:rPr>
            </w:pPr>
            <w:r>
              <w:rPr>
                <w:rFonts w:hint="eastAsia" w:ascii="宋体" w:hAnsi="宋体" w:cs="宋体"/>
                <w:szCs w:val="21"/>
              </w:rPr>
              <w:t>公司主要通过互联网查询和下载、图书馆查阅、书店购买、定期与主管部门联系等方式来识别和获取适用的环境和职业健康安全方面的法律法规等相关合规义务要求，现在已经将清单发放给各个部门。公司以培训、工作检查活动的形式将法律法规要求传达到相关人员。</w:t>
            </w:r>
          </w:p>
          <w:p>
            <w:pPr>
              <w:spacing w:line="400" w:lineRule="exact"/>
              <w:ind w:firstLine="420" w:firstLineChars="200"/>
              <w:rPr>
                <w:rFonts w:ascii="宋体" w:hAnsi="宋体" w:cs="宋体"/>
                <w:szCs w:val="21"/>
              </w:rPr>
            </w:pPr>
            <w:r>
              <w:rPr>
                <w:rFonts w:hint="eastAsia" w:ascii="宋体" w:hAnsi="宋体" w:cs="宋体"/>
                <w:szCs w:val="21"/>
              </w:rPr>
              <w:t>查到《法律法规及其他要求清单（质量、环境、职业健康安全）》，编制：体系小组</w:t>
            </w:r>
            <w:r>
              <w:rPr>
                <w:rFonts w:hint="eastAsia" w:ascii="宋体" w:hAnsi="宋体" w:cs="宋体"/>
                <w:szCs w:val="21"/>
              </w:rPr>
              <w:tab/>
            </w:r>
            <w:r>
              <w:rPr>
                <w:rFonts w:hint="eastAsia" w:ascii="宋体" w:hAnsi="宋体" w:cs="宋体"/>
                <w:szCs w:val="21"/>
              </w:rPr>
              <w:t>审批：杨大忠，时间：20</w:t>
            </w:r>
            <w:r>
              <w:rPr>
                <w:rFonts w:hint="eastAsia" w:ascii="宋体" w:hAnsi="宋体" w:cs="宋体"/>
                <w:szCs w:val="21"/>
                <w:lang w:val="en-US" w:eastAsia="zh-CN"/>
              </w:rPr>
              <w:t>20</w:t>
            </w:r>
            <w:r>
              <w:rPr>
                <w:rFonts w:hint="eastAsia" w:ascii="宋体" w:hAnsi="宋体" w:cs="宋体"/>
                <w:szCs w:val="21"/>
              </w:rPr>
              <w:t>年1月15日</w:t>
            </w:r>
          </w:p>
          <w:p>
            <w:pPr>
              <w:spacing w:line="400" w:lineRule="exact"/>
              <w:ind w:firstLine="420" w:firstLineChars="200"/>
              <w:rPr>
                <w:rFonts w:ascii="宋体" w:hAnsi="宋体" w:cs="宋体"/>
                <w:szCs w:val="21"/>
              </w:rPr>
            </w:pPr>
            <w:r>
              <w:rPr>
                <w:rFonts w:hint="eastAsia" w:ascii="宋体" w:hAnsi="宋体" w:cs="宋体"/>
                <w:szCs w:val="21"/>
              </w:rPr>
              <w:t>评价依据：</w:t>
            </w:r>
          </w:p>
          <w:p>
            <w:pPr>
              <w:spacing w:line="400" w:lineRule="exact"/>
              <w:ind w:firstLine="420" w:firstLineChars="200"/>
              <w:rPr>
                <w:rFonts w:ascii="宋体" w:hAnsi="宋体" w:cs="宋体"/>
                <w:szCs w:val="21"/>
              </w:rPr>
            </w:pPr>
            <w:r>
              <w:rPr>
                <w:rFonts w:hint="eastAsia" w:ascii="宋体" w:hAnsi="宋体" w:cs="宋体"/>
                <w:szCs w:val="21"/>
              </w:rPr>
              <w:t>适用的质量、环境、职业健康安全相关法律法规共计136项；</w:t>
            </w:r>
          </w:p>
          <w:p>
            <w:pPr>
              <w:spacing w:line="400" w:lineRule="exact"/>
              <w:ind w:firstLine="420" w:firstLineChars="200"/>
              <w:rPr>
                <w:rFonts w:ascii="宋体" w:hAnsi="宋体" w:cs="宋体"/>
                <w:szCs w:val="21"/>
              </w:rPr>
            </w:pPr>
            <w:r>
              <w:rPr>
                <w:rFonts w:hint="eastAsia" w:ascii="宋体" w:hAnsi="宋体" w:cs="宋体"/>
                <w:szCs w:val="21"/>
              </w:rPr>
              <w:t>查到《20</w:t>
            </w:r>
            <w:r>
              <w:rPr>
                <w:rFonts w:hint="eastAsia" w:ascii="宋体" w:hAnsi="宋体" w:cs="宋体"/>
                <w:szCs w:val="21"/>
                <w:lang w:val="en-US" w:eastAsia="zh-CN"/>
              </w:rPr>
              <w:t>20</w:t>
            </w:r>
            <w:r>
              <w:rPr>
                <w:rFonts w:hint="eastAsia" w:ascii="宋体" w:hAnsi="宋体" w:cs="宋体"/>
                <w:szCs w:val="21"/>
              </w:rPr>
              <w:t>年度合规性评价报告》编制：体系小组  批准：杨大忠时间：20</w:t>
            </w:r>
            <w:r>
              <w:rPr>
                <w:rFonts w:hint="eastAsia" w:ascii="宋体" w:hAnsi="宋体" w:cs="宋体"/>
                <w:szCs w:val="21"/>
                <w:lang w:val="en-US" w:eastAsia="zh-CN"/>
              </w:rPr>
              <w:t>20</w:t>
            </w:r>
            <w:r>
              <w:rPr>
                <w:rFonts w:hint="eastAsia" w:ascii="宋体" w:hAnsi="宋体" w:cs="宋体"/>
                <w:szCs w:val="21"/>
              </w:rPr>
              <w:t>年3月25日</w:t>
            </w:r>
          </w:p>
          <w:p>
            <w:pPr>
              <w:spacing w:line="400" w:lineRule="exact"/>
              <w:ind w:firstLine="420" w:firstLineChars="200"/>
              <w:rPr>
                <w:rFonts w:ascii="宋体" w:hAnsi="宋体" w:cs="宋体"/>
                <w:szCs w:val="21"/>
              </w:rPr>
            </w:pPr>
            <w:r>
              <w:rPr>
                <w:rFonts w:hint="eastAsia" w:ascii="宋体" w:hAnsi="宋体" w:cs="宋体"/>
                <w:szCs w:val="21"/>
              </w:rPr>
              <w:t>参加人员：杨大忠、杨 斌、余长艳</w:t>
            </w:r>
          </w:p>
          <w:p>
            <w:pPr>
              <w:spacing w:line="400" w:lineRule="exact"/>
              <w:ind w:firstLine="420" w:firstLineChars="200"/>
              <w:rPr>
                <w:rFonts w:ascii="宋体" w:hAnsi="宋体" w:cs="宋体"/>
                <w:szCs w:val="21"/>
              </w:rPr>
            </w:pPr>
            <w:r>
              <w:rPr>
                <w:rFonts w:hint="eastAsia" w:ascii="宋体" w:hAnsi="宋体" w:cs="宋体"/>
                <w:szCs w:val="21"/>
              </w:rPr>
              <w:t>评价结果：</w:t>
            </w:r>
          </w:p>
          <w:p>
            <w:pPr>
              <w:numPr>
                <w:ilvl w:val="0"/>
                <w:numId w:val="8"/>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从本年度检查的结果来看，我公司没有违反国家法律、法规及相关标准，能严格遵守国家有关环境和职业健康安全管理方面的相关规定，密切关注法律法规的变化，并适时调整，严格按体系标准执行。</w:t>
            </w:r>
            <w:r>
              <w:rPr>
                <w:rFonts w:asciiTheme="minorEastAsia" w:hAnsiTheme="minorEastAsia" w:eastAsiaTheme="minorEastAsia" w:cstheme="minorEastAsia"/>
                <w:bCs/>
                <w:szCs w:val="21"/>
              </w:rPr>
              <w:t>未发生重大安全生产事故，无环境污染事件发生</w:t>
            </w:r>
            <w:r>
              <w:rPr>
                <w:rFonts w:hint="eastAsia" w:asciiTheme="minorEastAsia" w:hAnsiTheme="minorEastAsia" w:eastAsiaTheme="minorEastAsia" w:cstheme="minorEastAsia"/>
                <w:bCs/>
                <w:szCs w:val="21"/>
              </w:rPr>
              <w:t>，</w:t>
            </w:r>
            <w:r>
              <w:rPr>
                <w:rFonts w:asciiTheme="minorEastAsia" w:hAnsiTheme="minorEastAsia" w:eastAsiaTheme="minorEastAsia" w:cstheme="minorEastAsia"/>
                <w:bCs/>
                <w:szCs w:val="21"/>
              </w:rPr>
              <w:t>未发生尘肺病、传染病及其他卫生防疫问题事件，无个人或单位投诉</w:t>
            </w:r>
            <w:r>
              <w:rPr>
                <w:rFonts w:hint="eastAsia" w:asciiTheme="minorEastAsia" w:hAnsiTheme="minorEastAsia" w:eastAsiaTheme="minorEastAsia" w:cstheme="minorEastAsia"/>
                <w:bCs/>
                <w:szCs w:val="21"/>
              </w:rPr>
              <w:t>。</w:t>
            </w:r>
            <w:r>
              <w:rPr>
                <w:rFonts w:asciiTheme="minorEastAsia" w:hAnsiTheme="minorEastAsia" w:eastAsiaTheme="minorEastAsia" w:cstheme="minorEastAsia"/>
                <w:bCs/>
                <w:szCs w:val="21"/>
              </w:rPr>
              <w:t>执行结果是有效的。对</w:t>
            </w:r>
            <w:r>
              <w:rPr>
                <w:rFonts w:hint="eastAsia" w:asciiTheme="minorEastAsia" w:hAnsiTheme="minorEastAsia" w:eastAsiaTheme="minorEastAsia" w:cstheme="minorEastAsia"/>
                <w:bCs/>
                <w:szCs w:val="21"/>
              </w:rPr>
              <w:t>公司</w:t>
            </w:r>
            <w:r>
              <w:rPr>
                <w:rFonts w:asciiTheme="minorEastAsia" w:hAnsiTheme="minorEastAsia" w:eastAsiaTheme="minorEastAsia" w:cstheme="minorEastAsia"/>
                <w:bCs/>
                <w:szCs w:val="21"/>
              </w:rPr>
              <w:t>的环保意识和环境管理水平的提高起到了明显的促进作用。</w:t>
            </w:r>
          </w:p>
          <w:p>
            <w:pPr>
              <w:numPr>
                <w:ilvl w:val="0"/>
                <w:numId w:val="8"/>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查有具体评价过程记录</w:t>
            </w:r>
          </w:p>
          <w:p>
            <w:pPr>
              <w:numPr>
                <w:ilvl w:val="0"/>
                <w:numId w:val="8"/>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通过培训、开会、发文件等形式将法律法规要求传达给了员工和相关方。</w:t>
            </w:r>
          </w:p>
          <w:p>
            <w:pPr>
              <w:numPr>
                <w:ilvl w:val="0"/>
                <w:numId w:val="8"/>
              </w:num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合规性评价的实施基本有效。</w:t>
            </w:r>
          </w:p>
          <w:p>
            <w:pPr>
              <w:numPr>
                <w:ilvl w:val="0"/>
                <w:numId w:val="8"/>
              </w:numPr>
              <w:rPr>
                <w:rFonts w:ascii="宋体" w:hAnsi="宋体" w:cs="宋体"/>
                <w:szCs w:val="21"/>
              </w:rPr>
            </w:pPr>
            <w:r>
              <w:rPr>
                <w:rFonts w:hint="eastAsia" w:asciiTheme="minorEastAsia" w:hAnsiTheme="minorEastAsia" w:eastAsiaTheme="minorEastAsia" w:cstheme="minorEastAsia"/>
                <w:bCs/>
                <w:szCs w:val="21"/>
              </w:rPr>
              <w:t>经了解，《20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年度合规性评价报告》已经输入本年度的管理评审，符合。</w:t>
            </w:r>
          </w:p>
          <w:p>
            <w:pPr>
              <w:rPr>
                <w:rFonts w:ascii="宋体" w:hAnsi="宋体" w:cs="宋体"/>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环境和职业健康安全运行控制</w:t>
            </w:r>
          </w:p>
        </w:tc>
        <w:tc>
          <w:tcPr>
            <w:tcW w:w="960" w:type="dxa"/>
          </w:tcPr>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E8.1</w:t>
            </w:r>
          </w:p>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S8.1.2</w:t>
            </w:r>
          </w:p>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S8.1.3</w:t>
            </w:r>
          </w:p>
          <w:p>
            <w:pPr>
              <w:rPr>
                <w:rFonts w:asciiTheme="minorEastAsia" w:hAnsiTheme="minorEastAsia" w:eastAsiaTheme="minorEastAsia" w:cstheme="minorEastAsia"/>
                <w:szCs w:val="21"/>
              </w:rPr>
            </w:pPr>
          </w:p>
        </w:tc>
        <w:tc>
          <w:tcPr>
            <w:tcW w:w="10738" w:type="dxa"/>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重要环境因素的控制，依据公司的相关规定：节能降耗控制程序、废弃物控制程序、大气污染防治控制程序、噪声控制程序、消防管理控制程序等；</w:t>
            </w:r>
          </w:p>
          <w:p>
            <w:pPr>
              <w:pStyle w:val="21"/>
              <w:numPr>
                <w:ilvl w:val="0"/>
                <w:numId w:val="9"/>
              </w:numPr>
              <w:ind w:firstLineChars="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废水控制：公司生产不产生废水，生产用的冷却水循环使用，不外排，生活污水排入市政污水管网</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2）噪声控制：生产设备在安装时就采取了减震处理，设备产生的噪音符合国标标准要求，同时，公司有规定，在办公区内禁止大声喧哗</w:t>
            </w:r>
          </w:p>
          <w:p>
            <w:pPr>
              <w:spacing w:line="360" w:lineRule="auto"/>
              <w:rPr>
                <w:rFonts w:hint="default" w:asciiTheme="minorEastAsia" w:hAnsiTheme="minorEastAsia" w:eastAsiaTheme="minorEastAsia" w:cstheme="minorEastAsia"/>
                <w:bCs/>
                <w:color w:val="auto"/>
                <w:szCs w:val="21"/>
                <w:lang w:val="en-US" w:eastAsia="zh-CN"/>
              </w:rPr>
            </w:pPr>
            <w:r>
              <w:rPr>
                <w:rFonts w:hint="eastAsia" w:asciiTheme="minorEastAsia" w:hAnsiTheme="minorEastAsia" w:eastAsiaTheme="minorEastAsia" w:cstheme="minorEastAsia"/>
                <w:bCs/>
                <w:szCs w:val="21"/>
              </w:rPr>
              <w:t>3）废气控制：公司投入安装运</w:t>
            </w:r>
            <w:r>
              <w:rPr>
                <w:rFonts w:hint="eastAsia" w:asciiTheme="minorEastAsia" w:hAnsiTheme="minorEastAsia" w:eastAsiaTheme="minorEastAsia" w:cstheme="minorEastAsia"/>
                <w:bCs/>
                <w:color w:val="auto"/>
                <w:szCs w:val="21"/>
              </w:rPr>
              <w:t>行</w:t>
            </w:r>
            <w:r>
              <w:rPr>
                <w:rFonts w:hint="eastAsia" w:asciiTheme="minorEastAsia" w:hAnsiTheme="minorEastAsia" w:eastAsiaTheme="minorEastAsia" w:cstheme="minorEastAsia"/>
                <w:bCs/>
                <w:szCs w:val="21"/>
              </w:rPr>
              <w:t>环保设备/安全设施配置:沥青烟气净化系统、冷却循环系统、灭火器、消防器材、标识牌、隔音、绿化等，生产部定期维护与保养。</w:t>
            </w:r>
            <w:r>
              <w:rPr>
                <w:rFonts w:hint="eastAsia" w:asciiTheme="minorEastAsia" w:hAnsiTheme="minorEastAsia" w:eastAsiaTheme="minorEastAsia" w:cstheme="minorEastAsia"/>
                <w:bCs/>
                <w:color w:val="auto"/>
                <w:szCs w:val="21"/>
                <w:lang w:val="en-US" w:eastAsia="zh-CN"/>
              </w:rPr>
              <w:t>见相关证据中湖北天欧检测有限公司对废气的检测报告</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4）固废控制：</w:t>
            </w:r>
          </w:p>
          <w:p>
            <w:pP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固废排放：办公垃圾交环卫部门处理</w:t>
            </w:r>
          </w:p>
          <w:p>
            <w:pPr>
              <w:ind w:firstLine="1050" w:firstLineChars="5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硒鼓墨盒交厂家回收</w:t>
            </w:r>
          </w:p>
          <w:p>
            <w:pPr>
              <w:ind w:firstLine="1050" w:firstLineChars="5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生产固废，收集后重复利用</w:t>
            </w:r>
          </w:p>
          <w:p>
            <w:pPr>
              <w:rPr>
                <w:rFonts w:hint="default" w:asciiTheme="minorEastAsia" w:hAnsiTheme="minorEastAsia" w:eastAsiaTheme="minorEastAsia" w:cstheme="minorEastAsia"/>
                <w:bCs/>
                <w:color w:val="auto"/>
                <w:szCs w:val="21"/>
                <w:lang w:val="en-US" w:eastAsia="zh-CN"/>
              </w:rPr>
            </w:pPr>
            <w:r>
              <w:rPr>
                <w:rFonts w:hint="eastAsia" w:asciiTheme="minorEastAsia" w:hAnsiTheme="minorEastAsia" w:eastAsiaTheme="minorEastAsia" w:cstheme="minorEastAsia"/>
                <w:bCs/>
                <w:color w:val="auto"/>
                <w:szCs w:val="21"/>
                <w:lang w:val="en-US" w:eastAsia="zh-CN"/>
              </w:rPr>
              <w:t>危废的排放：废沥青渣，回用于车间原料配料口；废导热油3-5年更换一次，更换下来的废油由供应商回用，综合处理，不外排。</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5）能资源管理：公司规定人走灯灭，人走关水等节能节水措施，并互相监督</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6）火灾事故预防：公司配备有灭火器等消防设施，有应急预案，相关人员经过培训。</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7）触电：公司专人负责对电箱进行检查和维保，电气线路防护，措施到位。</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8）机械伤害：车间悬挂操作规程，人员经过培训，设备定期保养</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9）触电：电箱均有防触电标识，人员经过培训</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提供人员社保清单：</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公司制定了安全生产责任属，制定了安全目标考核制定.</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提供员工体检清单</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提供员工个人防护清单</w:t>
            </w:r>
          </w:p>
          <w:p>
            <w:pP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运行控制基本满足要求</w:t>
            </w:r>
          </w:p>
          <w:p>
            <w:pP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应急准备和响应</w:t>
            </w:r>
          </w:p>
        </w:tc>
        <w:tc>
          <w:tcPr>
            <w:tcW w:w="960" w:type="dxa"/>
          </w:tcPr>
          <w:p>
            <w:pP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ES8.2</w:t>
            </w:r>
          </w:p>
          <w:p>
            <w:pPr>
              <w:rPr>
                <w:rFonts w:asciiTheme="minorEastAsia" w:hAnsiTheme="minorEastAsia" w:eastAsiaTheme="minorEastAsia" w:cstheme="minorEastAsia"/>
                <w:szCs w:val="21"/>
              </w:rPr>
            </w:pPr>
          </w:p>
        </w:tc>
        <w:tc>
          <w:tcPr>
            <w:tcW w:w="10738" w:type="dxa"/>
          </w:tcPr>
          <w:p>
            <w:pPr>
              <w:ind w:firstLine="210" w:firstLineChars="1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负责人介绍，公司制定ZYFS-CX-27-20</w:t>
            </w:r>
            <w:r>
              <w:rPr>
                <w:rFonts w:hint="eastAsia" w:asciiTheme="minorEastAsia" w:hAnsiTheme="minorEastAsia" w:eastAsiaTheme="minorEastAsia" w:cstheme="minorEastAsia"/>
                <w:bCs/>
                <w:szCs w:val="21"/>
                <w:lang w:val="en-US" w:eastAsia="zh-CN"/>
              </w:rPr>
              <w:t>20</w:t>
            </w:r>
            <w:r>
              <w:rPr>
                <w:rFonts w:hint="eastAsia" w:asciiTheme="minorEastAsia" w:hAnsiTheme="minorEastAsia" w:eastAsiaTheme="minorEastAsia" w:cstheme="minorEastAsia"/>
                <w:bCs/>
                <w:szCs w:val="21"/>
              </w:rPr>
              <w:t>《应急准备与响应管理程序》、《应急救援预案》等，包括：火灾、机械伤害应急预案等</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见：《火灾预案演练记录》</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培训时间 ：</w:t>
            </w:r>
            <w:r>
              <w:rPr>
                <w:rFonts w:hint="eastAsia" w:asciiTheme="minorEastAsia" w:hAnsiTheme="minorEastAsia" w:eastAsiaTheme="minorEastAsia" w:cstheme="minorEastAsia"/>
                <w:bCs/>
                <w:color w:val="auto"/>
                <w:szCs w:val="21"/>
                <w:lang w:val="en-US" w:eastAsia="zh-CN"/>
              </w:rPr>
              <w:t>20</w:t>
            </w:r>
            <w:r>
              <w:rPr>
                <w:rFonts w:hint="eastAsia" w:asciiTheme="minorEastAsia" w:hAnsiTheme="minorEastAsia" w:eastAsiaTheme="minorEastAsia" w:cstheme="minorEastAsia"/>
                <w:bCs/>
                <w:color w:val="auto"/>
                <w:szCs w:val="21"/>
              </w:rPr>
              <w:t>年1</w:t>
            </w:r>
            <w:r>
              <w:rPr>
                <w:rFonts w:hint="eastAsia" w:asciiTheme="minorEastAsia" w:hAnsiTheme="minorEastAsia" w:eastAsiaTheme="minorEastAsia" w:cstheme="minorEastAsia"/>
                <w:bCs/>
                <w:color w:val="auto"/>
                <w:szCs w:val="21"/>
                <w:lang w:val="en-US" w:eastAsia="zh-CN"/>
              </w:rPr>
              <w:t>0</w:t>
            </w:r>
            <w:r>
              <w:rPr>
                <w:rFonts w:hint="eastAsia" w:asciiTheme="minorEastAsia" w:hAnsiTheme="minorEastAsia" w:eastAsiaTheme="minorEastAsia" w:cstheme="minorEastAsia"/>
                <w:bCs/>
                <w:color w:val="auto"/>
                <w:szCs w:val="21"/>
              </w:rPr>
              <w:t>月27日</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培训地点：公司</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培训部门：生产部</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培训人：杨兵</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参加人员：公司员工。</w:t>
            </w:r>
          </w:p>
          <w:p>
            <w:pPr>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过程记录：</w:t>
            </w:r>
          </w:p>
          <w:p>
            <w:pPr>
              <w:shd w:val="clear" w:color="auto" w:fill="FFFFFF"/>
              <w:snapToGrid w:val="0"/>
              <w:spacing w:line="300" w:lineRule="exact"/>
              <w:ind w:firstLine="420"/>
              <w:rPr>
                <w:rFonts w:ascii="宋体" w:hAnsi="宋体"/>
                <w:szCs w:val="21"/>
              </w:rPr>
            </w:pPr>
            <w:r>
              <w:rPr>
                <w:rFonts w:hint="eastAsia" w:ascii="宋体" w:hAnsi="宋体"/>
                <w:szCs w:val="21"/>
              </w:rPr>
              <w:t>1. 办公室主任接到报警后立即建灭火指挥部，指挥灭火及抢救疏散行动。</w:t>
            </w:r>
          </w:p>
          <w:p>
            <w:pPr>
              <w:shd w:val="clear" w:color="auto" w:fill="FFFFFF"/>
              <w:snapToGrid w:val="0"/>
              <w:spacing w:line="300" w:lineRule="exact"/>
              <w:ind w:firstLine="420"/>
              <w:rPr>
                <w:rFonts w:ascii="宋体" w:hAnsi="宋体"/>
                <w:szCs w:val="21"/>
              </w:rPr>
            </w:pPr>
            <w:r>
              <w:rPr>
                <w:rFonts w:hint="eastAsia" w:ascii="宋体" w:hAnsi="宋体"/>
                <w:szCs w:val="21"/>
              </w:rPr>
              <w:t>2.非正常上班时间值班经理接到报警后立即赶往失火现场指挥灭火行动。</w:t>
            </w:r>
          </w:p>
          <w:p>
            <w:pPr>
              <w:shd w:val="clear" w:color="auto" w:fill="FFFFFF"/>
              <w:snapToGrid w:val="0"/>
              <w:spacing w:line="300" w:lineRule="exact"/>
              <w:ind w:firstLine="420"/>
              <w:rPr>
                <w:rFonts w:ascii="宋体" w:hAnsi="宋体"/>
                <w:szCs w:val="21"/>
              </w:rPr>
            </w:pPr>
            <w:r>
              <w:rPr>
                <w:rFonts w:hint="eastAsia" w:ascii="宋体" w:hAnsi="宋体"/>
                <w:szCs w:val="21"/>
              </w:rPr>
              <w:t>3.消防员接到报警后立即赶往火灾地点，协助综合部主任指挥灭火及抢救疏散行动。并指挥义务消防队实施灭火抢救行动，调整警力部署，维护正门及外围秩序。</w:t>
            </w:r>
          </w:p>
          <w:p>
            <w:pPr>
              <w:shd w:val="clear" w:color="auto" w:fill="FFFFFF"/>
              <w:snapToGrid w:val="0"/>
              <w:spacing w:line="300" w:lineRule="exact"/>
              <w:ind w:firstLine="420"/>
              <w:rPr>
                <w:rFonts w:ascii="宋体" w:hAnsi="宋体"/>
                <w:szCs w:val="21"/>
              </w:rPr>
            </w:pPr>
            <w:r>
              <w:rPr>
                <w:rFonts w:hint="eastAsia" w:ascii="宋体" w:hAnsi="宋体"/>
                <w:szCs w:val="21"/>
              </w:rPr>
              <w:t>4.我公司其他人员接到报警后，通知本部门各岗位人员坚守岗位做好疏散准备。</w:t>
            </w:r>
          </w:p>
          <w:p>
            <w:pPr>
              <w:shd w:val="clear" w:color="auto" w:fill="FFFFFF"/>
              <w:snapToGrid w:val="0"/>
              <w:spacing w:line="300" w:lineRule="exact"/>
              <w:ind w:firstLine="420"/>
              <w:rPr>
                <w:rFonts w:ascii="宋体" w:hAnsi="宋体"/>
                <w:szCs w:val="21"/>
              </w:rPr>
            </w:pPr>
            <w:r>
              <w:rPr>
                <w:rFonts w:hint="eastAsia" w:ascii="宋体" w:hAnsi="宋体"/>
                <w:szCs w:val="21"/>
              </w:rPr>
              <w:t>5.其他各部门各岗位人员接到报警后坚守岗位，按灭火指挥部的命令行动。</w:t>
            </w:r>
          </w:p>
          <w:p>
            <w:pPr>
              <w:pStyle w:val="7"/>
              <w:spacing w:line="300" w:lineRule="exact"/>
              <w:ind w:firstLine="315" w:firstLineChars="150"/>
              <w:jc w:val="both"/>
              <w:rPr>
                <w:rFonts w:ascii="宋体" w:hAnsi="宋体"/>
                <w:kern w:val="2"/>
                <w:sz w:val="21"/>
                <w:szCs w:val="21"/>
              </w:rPr>
            </w:pPr>
            <w:r>
              <w:rPr>
                <w:rFonts w:ascii="宋体" w:hAnsi="宋体"/>
                <w:kern w:val="2"/>
                <w:sz w:val="21"/>
                <w:szCs w:val="21"/>
              </w:rPr>
              <w:t>演习</w:t>
            </w:r>
            <w:r>
              <w:rPr>
                <w:rFonts w:hint="eastAsia" w:ascii="宋体" w:hAnsi="宋体"/>
                <w:kern w:val="2"/>
                <w:sz w:val="21"/>
                <w:szCs w:val="21"/>
              </w:rPr>
              <w:t>时间60</w:t>
            </w:r>
            <w:r>
              <w:rPr>
                <w:rFonts w:ascii="宋体" w:hAnsi="宋体"/>
                <w:kern w:val="2"/>
                <w:sz w:val="21"/>
                <w:szCs w:val="21"/>
              </w:rPr>
              <w:t>分钟</w:t>
            </w:r>
            <w:r>
              <w:rPr>
                <w:rFonts w:hint="eastAsia" w:ascii="宋体" w:hAnsi="宋体"/>
                <w:kern w:val="2"/>
                <w:sz w:val="21"/>
                <w:szCs w:val="21"/>
              </w:rPr>
              <w:t>,</w:t>
            </w:r>
            <w:r>
              <w:rPr>
                <w:rFonts w:ascii="宋体" w:hAnsi="宋体"/>
                <w:kern w:val="2"/>
                <w:sz w:val="21"/>
                <w:szCs w:val="21"/>
              </w:rPr>
              <w:t>结束后，由</w:t>
            </w:r>
            <w:r>
              <w:rPr>
                <w:rFonts w:hint="eastAsia" w:ascii="宋体" w:hAnsi="宋体"/>
                <w:kern w:val="2"/>
                <w:sz w:val="21"/>
                <w:szCs w:val="21"/>
              </w:rPr>
              <w:t>指挥</w:t>
            </w:r>
            <w:r>
              <w:rPr>
                <w:rFonts w:ascii="宋体" w:hAnsi="宋体"/>
                <w:kern w:val="2"/>
                <w:sz w:val="21"/>
                <w:szCs w:val="21"/>
              </w:rPr>
              <w:t>长进行了总结性发言。</w:t>
            </w:r>
          </w:p>
          <w:p>
            <w:pPr>
              <w:pStyle w:val="7"/>
              <w:spacing w:line="300" w:lineRule="exact"/>
              <w:jc w:val="both"/>
              <w:rPr>
                <w:rFonts w:ascii="宋体" w:hAnsi="宋体"/>
                <w:kern w:val="2"/>
                <w:sz w:val="21"/>
                <w:szCs w:val="21"/>
              </w:rPr>
            </w:pPr>
            <w:r>
              <w:rPr>
                <w:rFonts w:ascii="宋体" w:hAnsi="宋体"/>
                <w:kern w:val="2"/>
                <w:sz w:val="21"/>
                <w:szCs w:val="21"/>
              </w:rPr>
              <w:t xml:space="preserve">现场救援讲评 </w:t>
            </w:r>
          </w:p>
          <w:p>
            <w:pPr>
              <w:pStyle w:val="7"/>
              <w:spacing w:line="300" w:lineRule="exact"/>
              <w:ind w:firstLine="420" w:firstLineChars="200"/>
              <w:jc w:val="both"/>
              <w:rPr>
                <w:rFonts w:ascii="宋体" w:hAnsi="宋体"/>
                <w:kern w:val="2"/>
                <w:sz w:val="21"/>
                <w:szCs w:val="21"/>
              </w:rPr>
            </w:pPr>
            <w:r>
              <w:rPr>
                <w:rFonts w:ascii="宋体" w:hAnsi="宋体"/>
                <w:kern w:val="2"/>
                <w:sz w:val="21"/>
                <w:szCs w:val="21"/>
              </w:rPr>
              <w:t>1</w:t>
            </w:r>
            <w:r>
              <w:rPr>
                <w:rFonts w:hint="eastAsia" w:ascii="宋体" w:hAnsi="宋体"/>
                <w:kern w:val="2"/>
                <w:sz w:val="21"/>
                <w:szCs w:val="21"/>
              </w:rPr>
              <w:t>.</w:t>
            </w:r>
            <w:r>
              <w:rPr>
                <w:rFonts w:ascii="宋体" w:hAnsi="宋体"/>
                <w:kern w:val="2"/>
                <w:sz w:val="21"/>
                <w:szCs w:val="21"/>
              </w:rPr>
              <w:t>这次演练报告快，统一指挥，救援快，用较短的时间，争取较快救治。</w:t>
            </w:r>
          </w:p>
          <w:p>
            <w:pPr>
              <w:pStyle w:val="7"/>
              <w:spacing w:line="300" w:lineRule="exact"/>
              <w:ind w:firstLine="420" w:firstLineChars="200"/>
              <w:jc w:val="both"/>
              <w:rPr>
                <w:rFonts w:ascii="宋体" w:hAnsi="宋体"/>
                <w:kern w:val="2"/>
                <w:sz w:val="21"/>
                <w:szCs w:val="21"/>
              </w:rPr>
            </w:pPr>
            <w:r>
              <w:rPr>
                <w:rFonts w:ascii="宋体" w:hAnsi="宋体"/>
                <w:kern w:val="2"/>
                <w:sz w:val="21"/>
                <w:szCs w:val="21"/>
              </w:rPr>
              <w:t>2</w:t>
            </w:r>
            <w:r>
              <w:rPr>
                <w:rFonts w:hint="eastAsia" w:ascii="宋体" w:hAnsi="宋体"/>
                <w:kern w:val="2"/>
                <w:sz w:val="21"/>
                <w:szCs w:val="21"/>
              </w:rPr>
              <w:t>.</w:t>
            </w:r>
            <w:r>
              <w:rPr>
                <w:rFonts w:ascii="宋体" w:hAnsi="宋体"/>
                <w:kern w:val="2"/>
                <w:sz w:val="21"/>
                <w:szCs w:val="21"/>
              </w:rPr>
              <w:t>通过演练提高应急能力，对突发事故进行有效的处理。</w:t>
            </w:r>
          </w:p>
          <w:p>
            <w:pPr>
              <w:pStyle w:val="7"/>
              <w:spacing w:line="300" w:lineRule="exact"/>
              <w:ind w:firstLine="420" w:firstLineChars="200"/>
              <w:jc w:val="both"/>
              <w:rPr>
                <w:rFonts w:ascii="宋体" w:hAnsi="宋体"/>
                <w:kern w:val="2"/>
                <w:sz w:val="21"/>
                <w:szCs w:val="21"/>
              </w:rPr>
            </w:pPr>
            <w:r>
              <w:rPr>
                <w:rFonts w:ascii="宋体" w:hAnsi="宋体"/>
                <w:kern w:val="2"/>
                <w:sz w:val="21"/>
                <w:szCs w:val="21"/>
              </w:rPr>
              <w:t>3</w:t>
            </w:r>
            <w:r>
              <w:rPr>
                <w:rFonts w:hint="eastAsia" w:ascii="宋体" w:hAnsi="宋体"/>
                <w:kern w:val="2"/>
                <w:sz w:val="21"/>
                <w:szCs w:val="21"/>
              </w:rPr>
              <w:t>.</w:t>
            </w:r>
            <w:r>
              <w:rPr>
                <w:rFonts w:ascii="宋体" w:hAnsi="宋体"/>
                <w:kern w:val="2"/>
                <w:sz w:val="21"/>
                <w:szCs w:val="21"/>
              </w:rPr>
              <w:t>救援速度迅速，救助伤员及时。</w:t>
            </w:r>
          </w:p>
          <w:p>
            <w:pPr>
              <w:pStyle w:val="7"/>
              <w:spacing w:line="300" w:lineRule="exact"/>
              <w:ind w:firstLine="420" w:firstLineChars="200"/>
              <w:jc w:val="both"/>
              <w:rPr>
                <w:rFonts w:ascii="宋体" w:hAnsi="宋体"/>
                <w:kern w:val="2"/>
                <w:sz w:val="21"/>
                <w:szCs w:val="21"/>
              </w:rPr>
            </w:pPr>
            <w:r>
              <w:rPr>
                <w:rFonts w:ascii="宋体" w:hAnsi="宋体"/>
                <w:kern w:val="2"/>
                <w:sz w:val="21"/>
                <w:szCs w:val="21"/>
              </w:rPr>
              <w:t>4</w:t>
            </w:r>
            <w:r>
              <w:rPr>
                <w:rFonts w:hint="eastAsia" w:ascii="宋体" w:hAnsi="宋体"/>
                <w:kern w:val="2"/>
                <w:sz w:val="21"/>
                <w:szCs w:val="21"/>
              </w:rPr>
              <w:t>.</w:t>
            </w:r>
            <w:r>
              <w:rPr>
                <w:rFonts w:ascii="宋体" w:hAnsi="宋体"/>
                <w:kern w:val="2"/>
                <w:sz w:val="21"/>
                <w:szCs w:val="21"/>
              </w:rPr>
              <w:t>演练统一指挥，协作配合一致。</w:t>
            </w:r>
          </w:p>
          <w:p>
            <w:pPr>
              <w:pStyle w:val="7"/>
              <w:spacing w:line="300" w:lineRule="exact"/>
              <w:ind w:firstLine="420" w:firstLineChars="200"/>
              <w:jc w:val="both"/>
              <w:rPr>
                <w:rFonts w:ascii="宋体" w:hAnsi="宋体"/>
                <w:kern w:val="2"/>
                <w:sz w:val="21"/>
                <w:szCs w:val="21"/>
              </w:rPr>
            </w:pPr>
            <w:r>
              <w:rPr>
                <w:rFonts w:ascii="宋体" w:hAnsi="宋体"/>
                <w:kern w:val="2"/>
                <w:sz w:val="21"/>
                <w:szCs w:val="21"/>
              </w:rPr>
              <w:t>5</w:t>
            </w:r>
            <w:r>
              <w:rPr>
                <w:rFonts w:hint="eastAsia" w:ascii="宋体" w:hAnsi="宋体"/>
                <w:kern w:val="2"/>
                <w:sz w:val="21"/>
                <w:szCs w:val="21"/>
              </w:rPr>
              <w:t>.</w:t>
            </w:r>
            <w:r>
              <w:rPr>
                <w:rFonts w:ascii="宋体" w:hAnsi="宋体"/>
                <w:kern w:val="2"/>
                <w:sz w:val="21"/>
                <w:szCs w:val="21"/>
              </w:rPr>
              <w:t>救援队员应急能力有所提高，应变能力增强。</w:t>
            </w:r>
          </w:p>
          <w:p>
            <w:pPr>
              <w:pStyle w:val="7"/>
              <w:spacing w:line="300" w:lineRule="exact"/>
              <w:ind w:firstLine="420" w:firstLineChars="200"/>
              <w:jc w:val="both"/>
              <w:rPr>
                <w:rFonts w:ascii="宋体" w:hAnsi="宋体"/>
                <w:kern w:val="2"/>
                <w:sz w:val="21"/>
                <w:szCs w:val="21"/>
              </w:rPr>
            </w:pPr>
            <w:r>
              <w:rPr>
                <w:rFonts w:ascii="宋体" w:hAnsi="宋体"/>
                <w:kern w:val="2"/>
                <w:sz w:val="21"/>
                <w:szCs w:val="21"/>
              </w:rPr>
              <w:t>6</w:t>
            </w:r>
            <w:r>
              <w:rPr>
                <w:rFonts w:hint="eastAsia" w:ascii="宋体" w:hAnsi="宋体"/>
                <w:kern w:val="2"/>
                <w:sz w:val="21"/>
                <w:szCs w:val="21"/>
              </w:rPr>
              <w:t>.</w:t>
            </w:r>
            <w:r>
              <w:rPr>
                <w:rFonts w:ascii="宋体" w:hAnsi="宋体"/>
                <w:kern w:val="2"/>
                <w:sz w:val="21"/>
                <w:szCs w:val="21"/>
              </w:rPr>
              <w:t>灭火器材使用不太熟练，应加强演练。</w:t>
            </w:r>
          </w:p>
          <w:p>
            <w:pPr>
              <w:pStyle w:val="19"/>
              <w:ind w:firstLine="460" w:firstLineChars="200"/>
              <w:rPr>
                <w:rFonts w:asciiTheme="minorEastAsia" w:hAnsiTheme="minorEastAsia" w:eastAsiaTheme="minorEastAsia" w:cstheme="minorEastAsia"/>
                <w:szCs w:val="21"/>
              </w:rPr>
            </w:pPr>
            <w:r>
              <w:rPr>
                <w:rFonts w:ascii="宋体" w:hAnsi="宋体"/>
                <w:szCs w:val="21"/>
              </w:rPr>
              <w:t>7</w:t>
            </w:r>
            <w:r>
              <w:rPr>
                <w:rFonts w:hint="eastAsia" w:ascii="宋体" w:hAnsi="宋体"/>
                <w:szCs w:val="21"/>
              </w:rPr>
              <w:t>.</w:t>
            </w:r>
            <w:r>
              <w:rPr>
                <w:rFonts w:ascii="宋体" w:hAnsi="宋体"/>
                <w:szCs w:val="21"/>
              </w:rPr>
              <w:t>今后经常进行应急救援不同的事故演练。</w:t>
            </w:r>
          </w:p>
          <w:p>
            <w:pP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以上应急演练基本符合。</w:t>
            </w:r>
          </w:p>
          <w:p>
            <w:pP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szCs w:val="21"/>
              </w:rPr>
              <w:t>与二阶段远程审核内容一致，确认符合要求。</w:t>
            </w:r>
          </w:p>
        </w:tc>
        <w:tc>
          <w:tcPr>
            <w:tcW w:w="851" w:type="dxa"/>
          </w:tcPr>
          <w:p>
            <w:r>
              <w:rPr>
                <w:rFonts w:hint="eastAsia"/>
                <w:lang w:val="en-US" w:eastAsia="zh-CN"/>
              </w:rPr>
              <w:t>符合</w:t>
            </w:r>
            <w:bookmarkStart w:id="0" w:name="_GoBack"/>
            <w:bookmarkEnd w:id="0"/>
          </w:p>
        </w:tc>
      </w:tr>
    </w:tbl>
    <w:p>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34</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6"/>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DC70DA"/>
    <w:multiLevelType w:val="singleLevel"/>
    <w:tmpl w:val="D5DC70DA"/>
    <w:lvl w:ilvl="0" w:tentative="0">
      <w:start w:val="1"/>
      <w:numFmt w:val="decimal"/>
      <w:suff w:val="nothing"/>
      <w:lvlText w:val="%1、"/>
      <w:lvlJc w:val="left"/>
    </w:lvl>
  </w:abstractNum>
  <w:abstractNum w:abstractNumId="1">
    <w:nsid w:val="E71B5DAC"/>
    <w:multiLevelType w:val="singleLevel"/>
    <w:tmpl w:val="E71B5DAC"/>
    <w:lvl w:ilvl="0" w:tentative="0">
      <w:start w:val="1"/>
      <w:numFmt w:val="decimal"/>
      <w:suff w:val="space"/>
      <w:lvlText w:val="%1."/>
      <w:lvlJc w:val="left"/>
    </w:lvl>
  </w:abstractNum>
  <w:abstractNum w:abstractNumId="2">
    <w:nsid w:val="F8145567"/>
    <w:multiLevelType w:val="singleLevel"/>
    <w:tmpl w:val="F8145567"/>
    <w:lvl w:ilvl="0" w:tentative="0">
      <w:start w:val="3"/>
      <w:numFmt w:val="decimal"/>
      <w:suff w:val="nothing"/>
      <w:lvlText w:val="%1、"/>
      <w:lvlJc w:val="left"/>
    </w:lvl>
  </w:abstractNum>
  <w:abstractNum w:abstractNumId="3">
    <w:nsid w:val="1881D433"/>
    <w:multiLevelType w:val="singleLevel"/>
    <w:tmpl w:val="1881D433"/>
    <w:lvl w:ilvl="0" w:tentative="0">
      <w:start w:val="6"/>
      <w:numFmt w:val="decimal"/>
      <w:suff w:val="nothing"/>
      <w:lvlText w:val="%1、"/>
      <w:lvlJc w:val="left"/>
    </w:lvl>
  </w:abstractNum>
  <w:abstractNum w:abstractNumId="4">
    <w:nsid w:val="28045074"/>
    <w:multiLevelType w:val="multilevel"/>
    <w:tmpl w:val="280450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00D838D"/>
    <w:multiLevelType w:val="singleLevel"/>
    <w:tmpl w:val="500D838D"/>
    <w:lvl w:ilvl="0" w:tentative="0">
      <w:start w:val="2"/>
      <w:numFmt w:val="decimal"/>
      <w:suff w:val="nothing"/>
      <w:lvlText w:val="（%1）"/>
      <w:lvlJc w:val="left"/>
    </w:lvl>
  </w:abstractNum>
  <w:abstractNum w:abstractNumId="6">
    <w:nsid w:val="5A6FD64E"/>
    <w:multiLevelType w:val="singleLevel"/>
    <w:tmpl w:val="5A6FD64E"/>
    <w:lvl w:ilvl="0" w:tentative="0">
      <w:start w:val="1"/>
      <w:numFmt w:val="decimal"/>
      <w:suff w:val="nothing"/>
      <w:lvlText w:val="%1、"/>
      <w:lvlJc w:val="left"/>
    </w:lvl>
  </w:abstractNum>
  <w:abstractNum w:abstractNumId="7">
    <w:nsid w:val="62A507B7"/>
    <w:multiLevelType w:val="singleLevel"/>
    <w:tmpl w:val="62A507B7"/>
    <w:lvl w:ilvl="0" w:tentative="0">
      <w:start w:val="1"/>
      <w:numFmt w:val="decimal"/>
      <w:suff w:val="nothing"/>
      <w:lvlText w:val="%1）"/>
      <w:lvlJc w:val="left"/>
    </w:lvl>
  </w:abstractNum>
  <w:abstractNum w:abstractNumId="8">
    <w:nsid w:val="71DB2B6F"/>
    <w:multiLevelType w:val="multilevel"/>
    <w:tmpl w:val="71DB2B6F"/>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2"/>
  </w:num>
  <w:num w:numId="3">
    <w:abstractNumId w:val="8"/>
  </w:num>
  <w:num w:numId="4">
    <w:abstractNumId w:val="5"/>
  </w:num>
  <w:num w:numId="5">
    <w:abstractNumId w:val="1"/>
  </w:num>
  <w:num w:numId="6">
    <w:abstractNumId w:val="3"/>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0AE"/>
    <w:rsid w:val="000006D8"/>
    <w:rsid w:val="00000AF6"/>
    <w:rsid w:val="00003DF9"/>
    <w:rsid w:val="00005562"/>
    <w:rsid w:val="000058CD"/>
    <w:rsid w:val="00005BB9"/>
    <w:rsid w:val="000066A8"/>
    <w:rsid w:val="00007D0C"/>
    <w:rsid w:val="00010B6C"/>
    <w:rsid w:val="00011201"/>
    <w:rsid w:val="00013542"/>
    <w:rsid w:val="00013FDC"/>
    <w:rsid w:val="00014681"/>
    <w:rsid w:val="00016400"/>
    <w:rsid w:val="00021427"/>
    <w:rsid w:val="00021448"/>
    <w:rsid w:val="0002224C"/>
    <w:rsid w:val="000230D8"/>
    <w:rsid w:val="0002342B"/>
    <w:rsid w:val="000237F6"/>
    <w:rsid w:val="00024542"/>
    <w:rsid w:val="00026FDD"/>
    <w:rsid w:val="00027084"/>
    <w:rsid w:val="0003373A"/>
    <w:rsid w:val="0003528B"/>
    <w:rsid w:val="000357EA"/>
    <w:rsid w:val="0003582B"/>
    <w:rsid w:val="0003591C"/>
    <w:rsid w:val="00035B70"/>
    <w:rsid w:val="000400E2"/>
    <w:rsid w:val="00041CB4"/>
    <w:rsid w:val="00042845"/>
    <w:rsid w:val="00043BFA"/>
    <w:rsid w:val="00044058"/>
    <w:rsid w:val="00044595"/>
    <w:rsid w:val="00044D37"/>
    <w:rsid w:val="00045D6A"/>
    <w:rsid w:val="0004770E"/>
    <w:rsid w:val="000477B2"/>
    <w:rsid w:val="00051743"/>
    <w:rsid w:val="00051FC7"/>
    <w:rsid w:val="000542A0"/>
    <w:rsid w:val="00054C43"/>
    <w:rsid w:val="000552D4"/>
    <w:rsid w:val="00055517"/>
    <w:rsid w:val="000570CC"/>
    <w:rsid w:val="00060B55"/>
    <w:rsid w:val="00060E2E"/>
    <w:rsid w:val="00062369"/>
    <w:rsid w:val="00062E46"/>
    <w:rsid w:val="00064067"/>
    <w:rsid w:val="000649E0"/>
    <w:rsid w:val="00065AD5"/>
    <w:rsid w:val="00067008"/>
    <w:rsid w:val="00067168"/>
    <w:rsid w:val="00067A0F"/>
    <w:rsid w:val="00067B69"/>
    <w:rsid w:val="000712FC"/>
    <w:rsid w:val="0007388F"/>
    <w:rsid w:val="000759E0"/>
    <w:rsid w:val="000804A4"/>
    <w:rsid w:val="000815A3"/>
    <w:rsid w:val="00083A24"/>
    <w:rsid w:val="000860F1"/>
    <w:rsid w:val="000915E2"/>
    <w:rsid w:val="00093361"/>
    <w:rsid w:val="000940EF"/>
    <w:rsid w:val="00095137"/>
    <w:rsid w:val="00095DA4"/>
    <w:rsid w:val="000A0AAD"/>
    <w:rsid w:val="000A3438"/>
    <w:rsid w:val="000A60FC"/>
    <w:rsid w:val="000B24A4"/>
    <w:rsid w:val="000B27C8"/>
    <w:rsid w:val="000B3541"/>
    <w:rsid w:val="000B36CF"/>
    <w:rsid w:val="000B3A37"/>
    <w:rsid w:val="000B3BCA"/>
    <w:rsid w:val="000B54B9"/>
    <w:rsid w:val="000B6328"/>
    <w:rsid w:val="000B75B4"/>
    <w:rsid w:val="000B7BA6"/>
    <w:rsid w:val="000C4652"/>
    <w:rsid w:val="000C4B3A"/>
    <w:rsid w:val="000C6350"/>
    <w:rsid w:val="000C6359"/>
    <w:rsid w:val="000C6395"/>
    <w:rsid w:val="000C6653"/>
    <w:rsid w:val="000D034C"/>
    <w:rsid w:val="000D0B44"/>
    <w:rsid w:val="000D2AD7"/>
    <w:rsid w:val="000D3E88"/>
    <w:rsid w:val="000E7118"/>
    <w:rsid w:val="000E7226"/>
    <w:rsid w:val="000F0270"/>
    <w:rsid w:val="000F0D61"/>
    <w:rsid w:val="000F0D7A"/>
    <w:rsid w:val="000F0F7E"/>
    <w:rsid w:val="000F2701"/>
    <w:rsid w:val="000F2D62"/>
    <w:rsid w:val="000F5F9D"/>
    <w:rsid w:val="00100E6B"/>
    <w:rsid w:val="00103500"/>
    <w:rsid w:val="00103AD6"/>
    <w:rsid w:val="00104F8C"/>
    <w:rsid w:val="00110B62"/>
    <w:rsid w:val="00110F91"/>
    <w:rsid w:val="00111A8C"/>
    <w:rsid w:val="00112782"/>
    <w:rsid w:val="00113274"/>
    <w:rsid w:val="00113541"/>
    <w:rsid w:val="001164EA"/>
    <w:rsid w:val="001165AF"/>
    <w:rsid w:val="00116C60"/>
    <w:rsid w:val="001201A2"/>
    <w:rsid w:val="0012043B"/>
    <w:rsid w:val="0012062F"/>
    <w:rsid w:val="001218AE"/>
    <w:rsid w:val="00121BFE"/>
    <w:rsid w:val="00121C01"/>
    <w:rsid w:val="00127D5F"/>
    <w:rsid w:val="00131E26"/>
    <w:rsid w:val="00132047"/>
    <w:rsid w:val="00132E6E"/>
    <w:rsid w:val="001362DE"/>
    <w:rsid w:val="0013680B"/>
    <w:rsid w:val="00136C2E"/>
    <w:rsid w:val="0013725B"/>
    <w:rsid w:val="00141599"/>
    <w:rsid w:val="001428AA"/>
    <w:rsid w:val="001455F6"/>
    <w:rsid w:val="001503D6"/>
    <w:rsid w:val="001503E3"/>
    <w:rsid w:val="00150A51"/>
    <w:rsid w:val="001532A4"/>
    <w:rsid w:val="00156A13"/>
    <w:rsid w:val="00160DEE"/>
    <w:rsid w:val="00161C7B"/>
    <w:rsid w:val="00161D50"/>
    <w:rsid w:val="00164759"/>
    <w:rsid w:val="00165ACC"/>
    <w:rsid w:val="00167105"/>
    <w:rsid w:val="00167A09"/>
    <w:rsid w:val="00170039"/>
    <w:rsid w:val="00171DD5"/>
    <w:rsid w:val="00172CDE"/>
    <w:rsid w:val="001763EE"/>
    <w:rsid w:val="00176E59"/>
    <w:rsid w:val="0017723E"/>
    <w:rsid w:val="00177670"/>
    <w:rsid w:val="00182D6A"/>
    <w:rsid w:val="00182DFD"/>
    <w:rsid w:val="00183422"/>
    <w:rsid w:val="00184024"/>
    <w:rsid w:val="001854E4"/>
    <w:rsid w:val="001865A5"/>
    <w:rsid w:val="001865CC"/>
    <w:rsid w:val="00186D1A"/>
    <w:rsid w:val="00190DAD"/>
    <w:rsid w:val="00192FF0"/>
    <w:rsid w:val="00193594"/>
    <w:rsid w:val="0019698C"/>
    <w:rsid w:val="00197A17"/>
    <w:rsid w:val="00197E7B"/>
    <w:rsid w:val="001A0010"/>
    <w:rsid w:val="001A0271"/>
    <w:rsid w:val="001A0386"/>
    <w:rsid w:val="001A1795"/>
    <w:rsid w:val="001A26B6"/>
    <w:rsid w:val="001A2D7F"/>
    <w:rsid w:val="001A7792"/>
    <w:rsid w:val="001A78DA"/>
    <w:rsid w:val="001B0503"/>
    <w:rsid w:val="001B30BF"/>
    <w:rsid w:val="001B3D29"/>
    <w:rsid w:val="001B733E"/>
    <w:rsid w:val="001B7B3A"/>
    <w:rsid w:val="001C0228"/>
    <w:rsid w:val="001C050F"/>
    <w:rsid w:val="001C1750"/>
    <w:rsid w:val="001C446B"/>
    <w:rsid w:val="001C56CA"/>
    <w:rsid w:val="001D11FB"/>
    <w:rsid w:val="001D2545"/>
    <w:rsid w:val="001D45A7"/>
    <w:rsid w:val="001D5E29"/>
    <w:rsid w:val="001D7441"/>
    <w:rsid w:val="001E08F3"/>
    <w:rsid w:val="001E1462"/>
    <w:rsid w:val="001E6D99"/>
    <w:rsid w:val="001E7FEB"/>
    <w:rsid w:val="001F0441"/>
    <w:rsid w:val="001F3668"/>
    <w:rsid w:val="001F4953"/>
    <w:rsid w:val="002002D5"/>
    <w:rsid w:val="002004CC"/>
    <w:rsid w:val="00201111"/>
    <w:rsid w:val="00201D35"/>
    <w:rsid w:val="00203DB0"/>
    <w:rsid w:val="002069DB"/>
    <w:rsid w:val="00207165"/>
    <w:rsid w:val="00210A9A"/>
    <w:rsid w:val="002134FE"/>
    <w:rsid w:val="00215790"/>
    <w:rsid w:val="00217C82"/>
    <w:rsid w:val="002207A6"/>
    <w:rsid w:val="00221AFF"/>
    <w:rsid w:val="00224F92"/>
    <w:rsid w:val="00225BAB"/>
    <w:rsid w:val="00226635"/>
    <w:rsid w:val="00227AB5"/>
    <w:rsid w:val="002308F2"/>
    <w:rsid w:val="00231C73"/>
    <w:rsid w:val="00232905"/>
    <w:rsid w:val="00240CA1"/>
    <w:rsid w:val="00241636"/>
    <w:rsid w:val="002435CC"/>
    <w:rsid w:val="002439D3"/>
    <w:rsid w:val="00243B9F"/>
    <w:rsid w:val="00245462"/>
    <w:rsid w:val="0024679C"/>
    <w:rsid w:val="00246C74"/>
    <w:rsid w:val="00247441"/>
    <w:rsid w:val="00250AC7"/>
    <w:rsid w:val="00250B89"/>
    <w:rsid w:val="00250BC1"/>
    <w:rsid w:val="00250DD4"/>
    <w:rsid w:val="0025135D"/>
    <w:rsid w:val="00253F23"/>
    <w:rsid w:val="00255B29"/>
    <w:rsid w:val="002563B0"/>
    <w:rsid w:val="0026014F"/>
    <w:rsid w:val="00266850"/>
    <w:rsid w:val="00271B16"/>
    <w:rsid w:val="00272022"/>
    <w:rsid w:val="00273E21"/>
    <w:rsid w:val="00275B75"/>
    <w:rsid w:val="002760A9"/>
    <w:rsid w:val="00276B24"/>
    <w:rsid w:val="0028027D"/>
    <w:rsid w:val="002803E2"/>
    <w:rsid w:val="00281B6C"/>
    <w:rsid w:val="00282600"/>
    <w:rsid w:val="00283900"/>
    <w:rsid w:val="00283BA5"/>
    <w:rsid w:val="00284283"/>
    <w:rsid w:val="00284D93"/>
    <w:rsid w:val="00285D8D"/>
    <w:rsid w:val="00285F92"/>
    <w:rsid w:val="002927F5"/>
    <w:rsid w:val="002939AD"/>
    <w:rsid w:val="00296B99"/>
    <w:rsid w:val="00296CED"/>
    <w:rsid w:val="002A08BC"/>
    <w:rsid w:val="002A2EAA"/>
    <w:rsid w:val="002A5216"/>
    <w:rsid w:val="002A52FC"/>
    <w:rsid w:val="002A6E49"/>
    <w:rsid w:val="002A767E"/>
    <w:rsid w:val="002B03FA"/>
    <w:rsid w:val="002B0BAF"/>
    <w:rsid w:val="002B1852"/>
    <w:rsid w:val="002B2260"/>
    <w:rsid w:val="002B33F0"/>
    <w:rsid w:val="002B416E"/>
    <w:rsid w:val="002B4C80"/>
    <w:rsid w:val="002B7394"/>
    <w:rsid w:val="002B7B48"/>
    <w:rsid w:val="002B7FFD"/>
    <w:rsid w:val="002C0A48"/>
    <w:rsid w:val="002C0C45"/>
    <w:rsid w:val="002C3DFC"/>
    <w:rsid w:val="002C7BF3"/>
    <w:rsid w:val="002D2BBE"/>
    <w:rsid w:val="002D36AC"/>
    <w:rsid w:val="002D57C1"/>
    <w:rsid w:val="002E239F"/>
    <w:rsid w:val="002E2412"/>
    <w:rsid w:val="002E4419"/>
    <w:rsid w:val="002E482D"/>
    <w:rsid w:val="002E798F"/>
    <w:rsid w:val="002F158F"/>
    <w:rsid w:val="002F191A"/>
    <w:rsid w:val="002F1C7F"/>
    <w:rsid w:val="002F3485"/>
    <w:rsid w:val="002F3D11"/>
    <w:rsid w:val="002F5BA4"/>
    <w:rsid w:val="002F5C0D"/>
    <w:rsid w:val="002F5C35"/>
    <w:rsid w:val="002F7D8F"/>
    <w:rsid w:val="00300869"/>
    <w:rsid w:val="00302B44"/>
    <w:rsid w:val="00304772"/>
    <w:rsid w:val="00306719"/>
    <w:rsid w:val="00316125"/>
    <w:rsid w:val="00317BBD"/>
    <w:rsid w:val="003224A8"/>
    <w:rsid w:val="003227F7"/>
    <w:rsid w:val="0032406B"/>
    <w:rsid w:val="00324557"/>
    <w:rsid w:val="0032496D"/>
    <w:rsid w:val="00324AF4"/>
    <w:rsid w:val="003355D7"/>
    <w:rsid w:val="00335C65"/>
    <w:rsid w:val="00336282"/>
    <w:rsid w:val="00337062"/>
    <w:rsid w:val="00337322"/>
    <w:rsid w:val="00337922"/>
    <w:rsid w:val="0034023F"/>
    <w:rsid w:val="00340867"/>
    <w:rsid w:val="00341272"/>
    <w:rsid w:val="00341EE0"/>
    <w:rsid w:val="00344B44"/>
    <w:rsid w:val="003451D4"/>
    <w:rsid w:val="00346ADB"/>
    <w:rsid w:val="00350FA4"/>
    <w:rsid w:val="003516AC"/>
    <w:rsid w:val="00352777"/>
    <w:rsid w:val="00354BEE"/>
    <w:rsid w:val="00355ED1"/>
    <w:rsid w:val="0036126A"/>
    <w:rsid w:val="00362E81"/>
    <w:rsid w:val="00362EB4"/>
    <w:rsid w:val="00363D1A"/>
    <w:rsid w:val="003660EA"/>
    <w:rsid w:val="003664FA"/>
    <w:rsid w:val="00366CF3"/>
    <w:rsid w:val="00367088"/>
    <w:rsid w:val="0036795E"/>
    <w:rsid w:val="00370E8F"/>
    <w:rsid w:val="003745A0"/>
    <w:rsid w:val="00374F85"/>
    <w:rsid w:val="00376139"/>
    <w:rsid w:val="00376EDA"/>
    <w:rsid w:val="00380837"/>
    <w:rsid w:val="00381E31"/>
    <w:rsid w:val="00383276"/>
    <w:rsid w:val="00383AFC"/>
    <w:rsid w:val="003868FC"/>
    <w:rsid w:val="00387148"/>
    <w:rsid w:val="0039016D"/>
    <w:rsid w:val="00391DF4"/>
    <w:rsid w:val="003936FD"/>
    <w:rsid w:val="003957EC"/>
    <w:rsid w:val="003960CD"/>
    <w:rsid w:val="00397298"/>
    <w:rsid w:val="003A07D2"/>
    <w:rsid w:val="003A198A"/>
    <w:rsid w:val="003A24BF"/>
    <w:rsid w:val="003A24D0"/>
    <w:rsid w:val="003A4871"/>
    <w:rsid w:val="003A4993"/>
    <w:rsid w:val="003A5EAC"/>
    <w:rsid w:val="003A6DF5"/>
    <w:rsid w:val="003A7BEC"/>
    <w:rsid w:val="003B111E"/>
    <w:rsid w:val="003B4667"/>
    <w:rsid w:val="003B4982"/>
    <w:rsid w:val="003B525E"/>
    <w:rsid w:val="003C0559"/>
    <w:rsid w:val="003C2228"/>
    <w:rsid w:val="003C36E5"/>
    <w:rsid w:val="003C4B84"/>
    <w:rsid w:val="003C7619"/>
    <w:rsid w:val="003C7A4B"/>
    <w:rsid w:val="003D0C55"/>
    <w:rsid w:val="003D3525"/>
    <w:rsid w:val="003D54FA"/>
    <w:rsid w:val="003E08A5"/>
    <w:rsid w:val="003E0C26"/>
    <w:rsid w:val="003E1B24"/>
    <w:rsid w:val="003E5244"/>
    <w:rsid w:val="003E63C0"/>
    <w:rsid w:val="003E7F61"/>
    <w:rsid w:val="003F0BB3"/>
    <w:rsid w:val="003F0DDB"/>
    <w:rsid w:val="003F13EA"/>
    <w:rsid w:val="003F1B8F"/>
    <w:rsid w:val="003F2304"/>
    <w:rsid w:val="003F2DCC"/>
    <w:rsid w:val="003F2E45"/>
    <w:rsid w:val="003F4FAB"/>
    <w:rsid w:val="003F55A0"/>
    <w:rsid w:val="003F627A"/>
    <w:rsid w:val="003F7283"/>
    <w:rsid w:val="003F77BC"/>
    <w:rsid w:val="00400E92"/>
    <w:rsid w:val="004043CB"/>
    <w:rsid w:val="00404A23"/>
    <w:rsid w:val="00404A88"/>
    <w:rsid w:val="00405064"/>
    <w:rsid w:val="00405301"/>
    <w:rsid w:val="00406133"/>
    <w:rsid w:val="00407ED9"/>
    <w:rsid w:val="00410914"/>
    <w:rsid w:val="004112B3"/>
    <w:rsid w:val="00415D6A"/>
    <w:rsid w:val="00415F71"/>
    <w:rsid w:val="004162B1"/>
    <w:rsid w:val="00423894"/>
    <w:rsid w:val="004243E4"/>
    <w:rsid w:val="00430923"/>
    <w:rsid w:val="00431A74"/>
    <w:rsid w:val="00431C16"/>
    <w:rsid w:val="00435C09"/>
    <w:rsid w:val="004405E3"/>
    <w:rsid w:val="00440E39"/>
    <w:rsid w:val="00442E5D"/>
    <w:rsid w:val="00442EE6"/>
    <w:rsid w:val="004435A3"/>
    <w:rsid w:val="004471B6"/>
    <w:rsid w:val="004479F2"/>
    <w:rsid w:val="00451C02"/>
    <w:rsid w:val="004529D9"/>
    <w:rsid w:val="00453D29"/>
    <w:rsid w:val="00454519"/>
    <w:rsid w:val="004579BB"/>
    <w:rsid w:val="00457AEB"/>
    <w:rsid w:val="00457BAF"/>
    <w:rsid w:val="0046098C"/>
    <w:rsid w:val="00460BF2"/>
    <w:rsid w:val="0046286B"/>
    <w:rsid w:val="00463C51"/>
    <w:rsid w:val="00464F6E"/>
    <w:rsid w:val="00465AA8"/>
    <w:rsid w:val="00465B9F"/>
    <w:rsid w:val="00465F4C"/>
    <w:rsid w:val="00466E9E"/>
    <w:rsid w:val="004700B4"/>
    <w:rsid w:val="004703DB"/>
    <w:rsid w:val="0047041E"/>
    <w:rsid w:val="00470C5E"/>
    <w:rsid w:val="00472603"/>
    <w:rsid w:val="0047269A"/>
    <w:rsid w:val="00473637"/>
    <w:rsid w:val="0047396E"/>
    <w:rsid w:val="00473EA0"/>
    <w:rsid w:val="00474190"/>
    <w:rsid w:val="00475BBE"/>
    <w:rsid w:val="00476282"/>
    <w:rsid w:val="00476F13"/>
    <w:rsid w:val="00477027"/>
    <w:rsid w:val="004770A6"/>
    <w:rsid w:val="004801A0"/>
    <w:rsid w:val="0048089D"/>
    <w:rsid w:val="004809E2"/>
    <w:rsid w:val="004815EB"/>
    <w:rsid w:val="0048301C"/>
    <w:rsid w:val="00484205"/>
    <w:rsid w:val="00485396"/>
    <w:rsid w:val="004869FD"/>
    <w:rsid w:val="00486E01"/>
    <w:rsid w:val="00490331"/>
    <w:rsid w:val="0049043E"/>
    <w:rsid w:val="00490533"/>
    <w:rsid w:val="004914E1"/>
    <w:rsid w:val="00494314"/>
    <w:rsid w:val="004947BE"/>
    <w:rsid w:val="00495865"/>
    <w:rsid w:val="004964F5"/>
    <w:rsid w:val="00496F38"/>
    <w:rsid w:val="00497E4E"/>
    <w:rsid w:val="004A0465"/>
    <w:rsid w:val="004A50DB"/>
    <w:rsid w:val="004A56C0"/>
    <w:rsid w:val="004A5B9B"/>
    <w:rsid w:val="004A7312"/>
    <w:rsid w:val="004B1C48"/>
    <w:rsid w:val="004B37F6"/>
    <w:rsid w:val="004B45D5"/>
    <w:rsid w:val="004B497D"/>
    <w:rsid w:val="004C0833"/>
    <w:rsid w:val="004C1CE7"/>
    <w:rsid w:val="004C4C1B"/>
    <w:rsid w:val="004C5340"/>
    <w:rsid w:val="004C6812"/>
    <w:rsid w:val="004C779A"/>
    <w:rsid w:val="004D0BF7"/>
    <w:rsid w:val="004D23A6"/>
    <w:rsid w:val="004D2D34"/>
    <w:rsid w:val="004E0353"/>
    <w:rsid w:val="004E0424"/>
    <w:rsid w:val="004E216E"/>
    <w:rsid w:val="004E36DF"/>
    <w:rsid w:val="004F0BF9"/>
    <w:rsid w:val="004F1155"/>
    <w:rsid w:val="004F15A7"/>
    <w:rsid w:val="004F283E"/>
    <w:rsid w:val="004F31F2"/>
    <w:rsid w:val="004F51CD"/>
    <w:rsid w:val="00500C96"/>
    <w:rsid w:val="005010FD"/>
    <w:rsid w:val="0050379C"/>
    <w:rsid w:val="00503E48"/>
    <w:rsid w:val="005046B2"/>
    <w:rsid w:val="005074BD"/>
    <w:rsid w:val="00512490"/>
    <w:rsid w:val="005125EB"/>
    <w:rsid w:val="00512602"/>
    <w:rsid w:val="00512F02"/>
    <w:rsid w:val="00514353"/>
    <w:rsid w:val="0051463D"/>
    <w:rsid w:val="00514666"/>
    <w:rsid w:val="00516CA8"/>
    <w:rsid w:val="0051711C"/>
    <w:rsid w:val="00517872"/>
    <w:rsid w:val="00523A31"/>
    <w:rsid w:val="00524367"/>
    <w:rsid w:val="00527EA0"/>
    <w:rsid w:val="00530F23"/>
    <w:rsid w:val="00531F77"/>
    <w:rsid w:val="00532496"/>
    <w:rsid w:val="00533A5A"/>
    <w:rsid w:val="00535ADF"/>
    <w:rsid w:val="00536930"/>
    <w:rsid w:val="00536986"/>
    <w:rsid w:val="00536AD6"/>
    <w:rsid w:val="0054239E"/>
    <w:rsid w:val="005427AF"/>
    <w:rsid w:val="00546EE4"/>
    <w:rsid w:val="00547DBF"/>
    <w:rsid w:val="00550A29"/>
    <w:rsid w:val="00550C42"/>
    <w:rsid w:val="00551199"/>
    <w:rsid w:val="00552571"/>
    <w:rsid w:val="005560EC"/>
    <w:rsid w:val="0055722E"/>
    <w:rsid w:val="00557950"/>
    <w:rsid w:val="00560DB6"/>
    <w:rsid w:val="00561069"/>
    <w:rsid w:val="00562A0E"/>
    <w:rsid w:val="00562A63"/>
    <w:rsid w:val="0056388C"/>
    <w:rsid w:val="00563E40"/>
    <w:rsid w:val="00564E53"/>
    <w:rsid w:val="00565DA1"/>
    <w:rsid w:val="00565ED9"/>
    <w:rsid w:val="0057109F"/>
    <w:rsid w:val="00571875"/>
    <w:rsid w:val="00571BEC"/>
    <w:rsid w:val="00572617"/>
    <w:rsid w:val="00572E0E"/>
    <w:rsid w:val="005752A6"/>
    <w:rsid w:val="00575E2B"/>
    <w:rsid w:val="005809E8"/>
    <w:rsid w:val="00582F06"/>
    <w:rsid w:val="0058374A"/>
    <w:rsid w:val="00587844"/>
    <w:rsid w:val="0059286E"/>
    <w:rsid w:val="00595FCA"/>
    <w:rsid w:val="005A3104"/>
    <w:rsid w:val="005A3C19"/>
    <w:rsid w:val="005A3ED7"/>
    <w:rsid w:val="005A60C4"/>
    <w:rsid w:val="005B096D"/>
    <w:rsid w:val="005B1AAA"/>
    <w:rsid w:val="005B6792"/>
    <w:rsid w:val="005B694A"/>
    <w:rsid w:val="005C20AE"/>
    <w:rsid w:val="005C58C1"/>
    <w:rsid w:val="005D0CFE"/>
    <w:rsid w:val="005D2741"/>
    <w:rsid w:val="005D54D0"/>
    <w:rsid w:val="005D5659"/>
    <w:rsid w:val="005D6138"/>
    <w:rsid w:val="005E087D"/>
    <w:rsid w:val="005E1891"/>
    <w:rsid w:val="005E33C0"/>
    <w:rsid w:val="005E3D32"/>
    <w:rsid w:val="005E51DB"/>
    <w:rsid w:val="005E57D3"/>
    <w:rsid w:val="005E5833"/>
    <w:rsid w:val="005E69A4"/>
    <w:rsid w:val="005F118F"/>
    <w:rsid w:val="005F1B49"/>
    <w:rsid w:val="005F2859"/>
    <w:rsid w:val="005F3546"/>
    <w:rsid w:val="005F6320"/>
    <w:rsid w:val="005F6A25"/>
    <w:rsid w:val="005F763D"/>
    <w:rsid w:val="00600C20"/>
    <w:rsid w:val="00600D5D"/>
    <w:rsid w:val="0060101B"/>
    <w:rsid w:val="00602295"/>
    <w:rsid w:val="00604FD9"/>
    <w:rsid w:val="00606D26"/>
    <w:rsid w:val="00607EC3"/>
    <w:rsid w:val="0061366C"/>
    <w:rsid w:val="00614C4D"/>
    <w:rsid w:val="0061659E"/>
    <w:rsid w:val="00616F2E"/>
    <w:rsid w:val="00620115"/>
    <w:rsid w:val="00623806"/>
    <w:rsid w:val="00624761"/>
    <w:rsid w:val="00624B0B"/>
    <w:rsid w:val="00624BAA"/>
    <w:rsid w:val="00626E04"/>
    <w:rsid w:val="00627E30"/>
    <w:rsid w:val="00630F87"/>
    <w:rsid w:val="006310F1"/>
    <w:rsid w:val="00632844"/>
    <w:rsid w:val="00637C14"/>
    <w:rsid w:val="006403F1"/>
    <w:rsid w:val="00640A35"/>
    <w:rsid w:val="00640B27"/>
    <w:rsid w:val="00640EC3"/>
    <w:rsid w:val="00641521"/>
    <w:rsid w:val="0064183D"/>
    <w:rsid w:val="00642DF2"/>
    <w:rsid w:val="00642F86"/>
    <w:rsid w:val="00644FE2"/>
    <w:rsid w:val="0064682C"/>
    <w:rsid w:val="00646919"/>
    <w:rsid w:val="00646950"/>
    <w:rsid w:val="00647048"/>
    <w:rsid w:val="006471B3"/>
    <w:rsid w:val="00647760"/>
    <w:rsid w:val="00650BFB"/>
    <w:rsid w:val="006510E0"/>
    <w:rsid w:val="006528B2"/>
    <w:rsid w:val="00657BDB"/>
    <w:rsid w:val="00660A1E"/>
    <w:rsid w:val="00660BAE"/>
    <w:rsid w:val="00661DE6"/>
    <w:rsid w:val="00662E0A"/>
    <w:rsid w:val="00670CF2"/>
    <w:rsid w:val="00672E2B"/>
    <w:rsid w:val="00672FF3"/>
    <w:rsid w:val="00674273"/>
    <w:rsid w:val="006743FE"/>
    <w:rsid w:val="0067523F"/>
    <w:rsid w:val="00675838"/>
    <w:rsid w:val="00675BE4"/>
    <w:rsid w:val="0067640C"/>
    <w:rsid w:val="006767D9"/>
    <w:rsid w:val="00680E61"/>
    <w:rsid w:val="006868D9"/>
    <w:rsid w:val="00687E8D"/>
    <w:rsid w:val="00692649"/>
    <w:rsid w:val="006934C4"/>
    <w:rsid w:val="00694AD9"/>
    <w:rsid w:val="006A0D24"/>
    <w:rsid w:val="006A271A"/>
    <w:rsid w:val="006A7DB5"/>
    <w:rsid w:val="006B1AE2"/>
    <w:rsid w:val="006B1DA9"/>
    <w:rsid w:val="006B292D"/>
    <w:rsid w:val="006B54AE"/>
    <w:rsid w:val="006B6BAD"/>
    <w:rsid w:val="006B6C80"/>
    <w:rsid w:val="006B7DBA"/>
    <w:rsid w:val="006B7EE8"/>
    <w:rsid w:val="006C3F32"/>
    <w:rsid w:val="006C4ABE"/>
    <w:rsid w:val="006C4CF1"/>
    <w:rsid w:val="006C6664"/>
    <w:rsid w:val="006C6ABF"/>
    <w:rsid w:val="006D0A3A"/>
    <w:rsid w:val="006D15CD"/>
    <w:rsid w:val="006D1A9A"/>
    <w:rsid w:val="006D2CFB"/>
    <w:rsid w:val="006D4071"/>
    <w:rsid w:val="006D5234"/>
    <w:rsid w:val="006D5B99"/>
    <w:rsid w:val="006D67DD"/>
    <w:rsid w:val="006E06CF"/>
    <w:rsid w:val="006E0E7B"/>
    <w:rsid w:val="006E19D1"/>
    <w:rsid w:val="006E2388"/>
    <w:rsid w:val="006E2841"/>
    <w:rsid w:val="006E2ABF"/>
    <w:rsid w:val="006E2AD9"/>
    <w:rsid w:val="006E2C8E"/>
    <w:rsid w:val="006E37A9"/>
    <w:rsid w:val="006E667D"/>
    <w:rsid w:val="006E678B"/>
    <w:rsid w:val="006E6DEB"/>
    <w:rsid w:val="006F0C2A"/>
    <w:rsid w:val="006F2491"/>
    <w:rsid w:val="006F5295"/>
    <w:rsid w:val="006F5DE1"/>
    <w:rsid w:val="006F7456"/>
    <w:rsid w:val="00700680"/>
    <w:rsid w:val="00703F6B"/>
    <w:rsid w:val="00705A2B"/>
    <w:rsid w:val="00705CA8"/>
    <w:rsid w:val="00712323"/>
    <w:rsid w:val="00714AF2"/>
    <w:rsid w:val="00714D58"/>
    <w:rsid w:val="00715875"/>
    <w:rsid w:val="0071778F"/>
    <w:rsid w:val="00722B8D"/>
    <w:rsid w:val="00722FEE"/>
    <w:rsid w:val="00724063"/>
    <w:rsid w:val="00724D55"/>
    <w:rsid w:val="00727525"/>
    <w:rsid w:val="00730A1C"/>
    <w:rsid w:val="00730F34"/>
    <w:rsid w:val="00732403"/>
    <w:rsid w:val="0073303C"/>
    <w:rsid w:val="00734B19"/>
    <w:rsid w:val="00737F35"/>
    <w:rsid w:val="00740121"/>
    <w:rsid w:val="00740711"/>
    <w:rsid w:val="00742622"/>
    <w:rsid w:val="00743619"/>
    <w:rsid w:val="007438B3"/>
    <w:rsid w:val="0074390F"/>
    <w:rsid w:val="007439DB"/>
    <w:rsid w:val="00747D61"/>
    <w:rsid w:val="00750B50"/>
    <w:rsid w:val="00750B76"/>
    <w:rsid w:val="00750E2F"/>
    <w:rsid w:val="0075382A"/>
    <w:rsid w:val="007547FF"/>
    <w:rsid w:val="00755F01"/>
    <w:rsid w:val="00757082"/>
    <w:rsid w:val="00757F6E"/>
    <w:rsid w:val="007613F9"/>
    <w:rsid w:val="0076143E"/>
    <w:rsid w:val="00762197"/>
    <w:rsid w:val="00762796"/>
    <w:rsid w:val="0076330C"/>
    <w:rsid w:val="00764DF4"/>
    <w:rsid w:val="0076796D"/>
    <w:rsid w:val="00767BA9"/>
    <w:rsid w:val="0077003F"/>
    <w:rsid w:val="00771119"/>
    <w:rsid w:val="007711CA"/>
    <w:rsid w:val="00772534"/>
    <w:rsid w:val="0077397A"/>
    <w:rsid w:val="007757F3"/>
    <w:rsid w:val="007762B9"/>
    <w:rsid w:val="00776FB3"/>
    <w:rsid w:val="007771BE"/>
    <w:rsid w:val="007814CA"/>
    <w:rsid w:val="007823A2"/>
    <w:rsid w:val="00782575"/>
    <w:rsid w:val="00782B8B"/>
    <w:rsid w:val="00783836"/>
    <w:rsid w:val="007841DD"/>
    <w:rsid w:val="00787047"/>
    <w:rsid w:val="007902EB"/>
    <w:rsid w:val="00792151"/>
    <w:rsid w:val="00793A94"/>
    <w:rsid w:val="00794608"/>
    <w:rsid w:val="00794979"/>
    <w:rsid w:val="007956BC"/>
    <w:rsid w:val="007971CA"/>
    <w:rsid w:val="007A0FE4"/>
    <w:rsid w:val="007A147E"/>
    <w:rsid w:val="007A29E7"/>
    <w:rsid w:val="007A47AB"/>
    <w:rsid w:val="007A630D"/>
    <w:rsid w:val="007B337C"/>
    <w:rsid w:val="007B4488"/>
    <w:rsid w:val="007B47F9"/>
    <w:rsid w:val="007B5A01"/>
    <w:rsid w:val="007B6E77"/>
    <w:rsid w:val="007B757C"/>
    <w:rsid w:val="007B7F25"/>
    <w:rsid w:val="007C0B5D"/>
    <w:rsid w:val="007C1AE2"/>
    <w:rsid w:val="007C38AF"/>
    <w:rsid w:val="007C5E3B"/>
    <w:rsid w:val="007C7721"/>
    <w:rsid w:val="007D39A9"/>
    <w:rsid w:val="007D7A81"/>
    <w:rsid w:val="007E30A2"/>
    <w:rsid w:val="007E3C3B"/>
    <w:rsid w:val="007E5184"/>
    <w:rsid w:val="007E55A8"/>
    <w:rsid w:val="007E5857"/>
    <w:rsid w:val="007E6AEB"/>
    <w:rsid w:val="007F52D1"/>
    <w:rsid w:val="00800A50"/>
    <w:rsid w:val="00804322"/>
    <w:rsid w:val="0080746F"/>
    <w:rsid w:val="008074A9"/>
    <w:rsid w:val="00814447"/>
    <w:rsid w:val="0081451B"/>
    <w:rsid w:val="00814EF7"/>
    <w:rsid w:val="00817EBE"/>
    <w:rsid w:val="00820E7A"/>
    <w:rsid w:val="008212B1"/>
    <w:rsid w:val="0082373C"/>
    <w:rsid w:val="00826C14"/>
    <w:rsid w:val="0082774E"/>
    <w:rsid w:val="00835C12"/>
    <w:rsid w:val="008367A4"/>
    <w:rsid w:val="00836CC3"/>
    <w:rsid w:val="0083749C"/>
    <w:rsid w:val="00837870"/>
    <w:rsid w:val="00843B03"/>
    <w:rsid w:val="00846D36"/>
    <w:rsid w:val="008478D1"/>
    <w:rsid w:val="0085006B"/>
    <w:rsid w:val="00852C23"/>
    <w:rsid w:val="00853342"/>
    <w:rsid w:val="0085436D"/>
    <w:rsid w:val="0085635E"/>
    <w:rsid w:val="00856810"/>
    <w:rsid w:val="00857995"/>
    <w:rsid w:val="00857A18"/>
    <w:rsid w:val="00861811"/>
    <w:rsid w:val="00861AFC"/>
    <w:rsid w:val="00864284"/>
    <w:rsid w:val="00866BFF"/>
    <w:rsid w:val="008675E4"/>
    <w:rsid w:val="00867CF2"/>
    <w:rsid w:val="00873555"/>
    <w:rsid w:val="0087523E"/>
    <w:rsid w:val="00877AEF"/>
    <w:rsid w:val="008800B6"/>
    <w:rsid w:val="008813F1"/>
    <w:rsid w:val="00881DA9"/>
    <w:rsid w:val="008825E3"/>
    <w:rsid w:val="0088457E"/>
    <w:rsid w:val="00886278"/>
    <w:rsid w:val="00891D78"/>
    <w:rsid w:val="008973EE"/>
    <w:rsid w:val="008A1DC6"/>
    <w:rsid w:val="008A2DF9"/>
    <w:rsid w:val="008A3324"/>
    <w:rsid w:val="008A351F"/>
    <w:rsid w:val="008A4E0D"/>
    <w:rsid w:val="008A556D"/>
    <w:rsid w:val="008A67B8"/>
    <w:rsid w:val="008B059F"/>
    <w:rsid w:val="008B0F12"/>
    <w:rsid w:val="008B4674"/>
    <w:rsid w:val="008B4CB8"/>
    <w:rsid w:val="008B52E8"/>
    <w:rsid w:val="008B5C2A"/>
    <w:rsid w:val="008B6322"/>
    <w:rsid w:val="008B6590"/>
    <w:rsid w:val="008C0C23"/>
    <w:rsid w:val="008C15F5"/>
    <w:rsid w:val="008C1B99"/>
    <w:rsid w:val="008C44D9"/>
    <w:rsid w:val="008C6F3B"/>
    <w:rsid w:val="008C70B9"/>
    <w:rsid w:val="008D060A"/>
    <w:rsid w:val="008D4EA9"/>
    <w:rsid w:val="008D555B"/>
    <w:rsid w:val="008D74EB"/>
    <w:rsid w:val="008E0688"/>
    <w:rsid w:val="008E56C1"/>
    <w:rsid w:val="008E6206"/>
    <w:rsid w:val="008E7155"/>
    <w:rsid w:val="008F045B"/>
    <w:rsid w:val="008F075F"/>
    <w:rsid w:val="008F20C1"/>
    <w:rsid w:val="008F440F"/>
    <w:rsid w:val="008F45AD"/>
    <w:rsid w:val="008F534F"/>
    <w:rsid w:val="008F5DD9"/>
    <w:rsid w:val="008F6D5A"/>
    <w:rsid w:val="00900BDA"/>
    <w:rsid w:val="00901FD0"/>
    <w:rsid w:val="009030F0"/>
    <w:rsid w:val="00903E72"/>
    <w:rsid w:val="00905E59"/>
    <w:rsid w:val="00910DA0"/>
    <w:rsid w:val="00912F9C"/>
    <w:rsid w:val="0091425C"/>
    <w:rsid w:val="00914A41"/>
    <w:rsid w:val="00915139"/>
    <w:rsid w:val="00915EC6"/>
    <w:rsid w:val="00916C2F"/>
    <w:rsid w:val="00920385"/>
    <w:rsid w:val="009203F8"/>
    <w:rsid w:val="00920F82"/>
    <w:rsid w:val="00921890"/>
    <w:rsid w:val="009219CE"/>
    <w:rsid w:val="00922115"/>
    <w:rsid w:val="00923985"/>
    <w:rsid w:val="00923F7D"/>
    <w:rsid w:val="0092588E"/>
    <w:rsid w:val="00926119"/>
    <w:rsid w:val="009270BE"/>
    <w:rsid w:val="009276D1"/>
    <w:rsid w:val="00927A4B"/>
    <w:rsid w:val="00927E16"/>
    <w:rsid w:val="009301FB"/>
    <w:rsid w:val="009312DD"/>
    <w:rsid w:val="009321D3"/>
    <w:rsid w:val="00932224"/>
    <w:rsid w:val="009336C9"/>
    <w:rsid w:val="00934951"/>
    <w:rsid w:val="00936AF4"/>
    <w:rsid w:val="009372E6"/>
    <w:rsid w:val="0094042A"/>
    <w:rsid w:val="0094079F"/>
    <w:rsid w:val="009421F1"/>
    <w:rsid w:val="009426E3"/>
    <w:rsid w:val="00942875"/>
    <w:rsid w:val="00944447"/>
    <w:rsid w:val="00946E2D"/>
    <w:rsid w:val="00950251"/>
    <w:rsid w:val="009510EA"/>
    <w:rsid w:val="009579F8"/>
    <w:rsid w:val="00957A9A"/>
    <w:rsid w:val="00960054"/>
    <w:rsid w:val="00960D4B"/>
    <w:rsid w:val="00960DB6"/>
    <w:rsid w:val="0096316A"/>
    <w:rsid w:val="0096354F"/>
    <w:rsid w:val="0096416E"/>
    <w:rsid w:val="0096519A"/>
    <w:rsid w:val="0096706E"/>
    <w:rsid w:val="00967186"/>
    <w:rsid w:val="00971600"/>
    <w:rsid w:val="00972CEB"/>
    <w:rsid w:val="0097396E"/>
    <w:rsid w:val="009741C5"/>
    <w:rsid w:val="00976FAC"/>
    <w:rsid w:val="00977928"/>
    <w:rsid w:val="00982D50"/>
    <w:rsid w:val="00984A26"/>
    <w:rsid w:val="0098523C"/>
    <w:rsid w:val="0098585B"/>
    <w:rsid w:val="00985916"/>
    <w:rsid w:val="00986FB4"/>
    <w:rsid w:val="00992434"/>
    <w:rsid w:val="00992B54"/>
    <w:rsid w:val="00992CC5"/>
    <w:rsid w:val="00993047"/>
    <w:rsid w:val="009941A3"/>
    <w:rsid w:val="00994823"/>
    <w:rsid w:val="00995B6D"/>
    <w:rsid w:val="009973B4"/>
    <w:rsid w:val="00997F6E"/>
    <w:rsid w:val="009A03D2"/>
    <w:rsid w:val="009A2208"/>
    <w:rsid w:val="009A3573"/>
    <w:rsid w:val="009A42E5"/>
    <w:rsid w:val="009A44CE"/>
    <w:rsid w:val="009A4943"/>
    <w:rsid w:val="009B0ED1"/>
    <w:rsid w:val="009B3C5A"/>
    <w:rsid w:val="009B49CC"/>
    <w:rsid w:val="009C28C1"/>
    <w:rsid w:val="009C32F3"/>
    <w:rsid w:val="009D0CD0"/>
    <w:rsid w:val="009D0EBD"/>
    <w:rsid w:val="009D2C81"/>
    <w:rsid w:val="009D7284"/>
    <w:rsid w:val="009E10ED"/>
    <w:rsid w:val="009E21C1"/>
    <w:rsid w:val="009E40C4"/>
    <w:rsid w:val="009E4D01"/>
    <w:rsid w:val="009E51AF"/>
    <w:rsid w:val="009E5317"/>
    <w:rsid w:val="009E5DF1"/>
    <w:rsid w:val="009E6982"/>
    <w:rsid w:val="009F1519"/>
    <w:rsid w:val="009F1AF9"/>
    <w:rsid w:val="009F1CA7"/>
    <w:rsid w:val="009F1D2D"/>
    <w:rsid w:val="009F3255"/>
    <w:rsid w:val="009F3E37"/>
    <w:rsid w:val="009F6343"/>
    <w:rsid w:val="009F68CA"/>
    <w:rsid w:val="009F73B8"/>
    <w:rsid w:val="009F73EE"/>
    <w:rsid w:val="009F771B"/>
    <w:rsid w:val="009F7ABA"/>
    <w:rsid w:val="009F7EED"/>
    <w:rsid w:val="00A02C51"/>
    <w:rsid w:val="00A040B8"/>
    <w:rsid w:val="00A04218"/>
    <w:rsid w:val="00A048A2"/>
    <w:rsid w:val="00A0688C"/>
    <w:rsid w:val="00A106A4"/>
    <w:rsid w:val="00A12A44"/>
    <w:rsid w:val="00A14097"/>
    <w:rsid w:val="00A14291"/>
    <w:rsid w:val="00A142B6"/>
    <w:rsid w:val="00A150FA"/>
    <w:rsid w:val="00A1689B"/>
    <w:rsid w:val="00A21124"/>
    <w:rsid w:val="00A21BF0"/>
    <w:rsid w:val="00A2262E"/>
    <w:rsid w:val="00A239DA"/>
    <w:rsid w:val="00A24BF3"/>
    <w:rsid w:val="00A25C84"/>
    <w:rsid w:val="00A25CFE"/>
    <w:rsid w:val="00A27022"/>
    <w:rsid w:val="00A30DF6"/>
    <w:rsid w:val="00A30E03"/>
    <w:rsid w:val="00A31A74"/>
    <w:rsid w:val="00A33D6F"/>
    <w:rsid w:val="00A37784"/>
    <w:rsid w:val="00A41C8A"/>
    <w:rsid w:val="00A4289A"/>
    <w:rsid w:val="00A43028"/>
    <w:rsid w:val="00A447C6"/>
    <w:rsid w:val="00A45D9E"/>
    <w:rsid w:val="00A50FA2"/>
    <w:rsid w:val="00A512A3"/>
    <w:rsid w:val="00A56BD0"/>
    <w:rsid w:val="00A57DD4"/>
    <w:rsid w:val="00A60A30"/>
    <w:rsid w:val="00A61C46"/>
    <w:rsid w:val="00A6210C"/>
    <w:rsid w:val="00A627A9"/>
    <w:rsid w:val="00A6480C"/>
    <w:rsid w:val="00A65EF3"/>
    <w:rsid w:val="00A67067"/>
    <w:rsid w:val="00A678F4"/>
    <w:rsid w:val="00A67E66"/>
    <w:rsid w:val="00A70B17"/>
    <w:rsid w:val="00A729AE"/>
    <w:rsid w:val="00A75E28"/>
    <w:rsid w:val="00A767DC"/>
    <w:rsid w:val="00A7783C"/>
    <w:rsid w:val="00A80636"/>
    <w:rsid w:val="00A81097"/>
    <w:rsid w:val="00A814DA"/>
    <w:rsid w:val="00A81560"/>
    <w:rsid w:val="00A8222B"/>
    <w:rsid w:val="00A83CB4"/>
    <w:rsid w:val="00A876C5"/>
    <w:rsid w:val="00A94128"/>
    <w:rsid w:val="00A94F96"/>
    <w:rsid w:val="00A9543B"/>
    <w:rsid w:val="00A95927"/>
    <w:rsid w:val="00A96322"/>
    <w:rsid w:val="00A970A8"/>
    <w:rsid w:val="00AA4898"/>
    <w:rsid w:val="00AA536D"/>
    <w:rsid w:val="00AB1398"/>
    <w:rsid w:val="00AB1C3E"/>
    <w:rsid w:val="00AB3E03"/>
    <w:rsid w:val="00AB51E2"/>
    <w:rsid w:val="00AC07C8"/>
    <w:rsid w:val="00AC13F5"/>
    <w:rsid w:val="00AC18B5"/>
    <w:rsid w:val="00AC66A2"/>
    <w:rsid w:val="00AC685D"/>
    <w:rsid w:val="00AD1C50"/>
    <w:rsid w:val="00AD2E68"/>
    <w:rsid w:val="00AD424E"/>
    <w:rsid w:val="00AD5165"/>
    <w:rsid w:val="00AD553B"/>
    <w:rsid w:val="00AD5551"/>
    <w:rsid w:val="00AD581B"/>
    <w:rsid w:val="00AD7C01"/>
    <w:rsid w:val="00AE08BA"/>
    <w:rsid w:val="00AE11D9"/>
    <w:rsid w:val="00AE1235"/>
    <w:rsid w:val="00AE22D2"/>
    <w:rsid w:val="00AE2DA3"/>
    <w:rsid w:val="00AE399F"/>
    <w:rsid w:val="00AE3CAF"/>
    <w:rsid w:val="00AE490A"/>
    <w:rsid w:val="00AE6745"/>
    <w:rsid w:val="00AE7FA9"/>
    <w:rsid w:val="00AF0AAB"/>
    <w:rsid w:val="00AF1ED8"/>
    <w:rsid w:val="00AF1F78"/>
    <w:rsid w:val="00AF5B3D"/>
    <w:rsid w:val="00AF6B00"/>
    <w:rsid w:val="00AF6EA5"/>
    <w:rsid w:val="00AF7FC9"/>
    <w:rsid w:val="00B039D1"/>
    <w:rsid w:val="00B06544"/>
    <w:rsid w:val="00B06769"/>
    <w:rsid w:val="00B07ABF"/>
    <w:rsid w:val="00B07ECD"/>
    <w:rsid w:val="00B10538"/>
    <w:rsid w:val="00B11658"/>
    <w:rsid w:val="00B11A82"/>
    <w:rsid w:val="00B1344B"/>
    <w:rsid w:val="00B134A2"/>
    <w:rsid w:val="00B13582"/>
    <w:rsid w:val="00B1594D"/>
    <w:rsid w:val="00B15DF0"/>
    <w:rsid w:val="00B164E9"/>
    <w:rsid w:val="00B16FE9"/>
    <w:rsid w:val="00B20444"/>
    <w:rsid w:val="00B21132"/>
    <w:rsid w:val="00B21D24"/>
    <w:rsid w:val="00B21F1B"/>
    <w:rsid w:val="00B22578"/>
    <w:rsid w:val="00B22599"/>
    <w:rsid w:val="00B23584"/>
    <w:rsid w:val="00B24B4D"/>
    <w:rsid w:val="00B25D5E"/>
    <w:rsid w:val="00B26C43"/>
    <w:rsid w:val="00B306CF"/>
    <w:rsid w:val="00B33278"/>
    <w:rsid w:val="00B340E5"/>
    <w:rsid w:val="00B3478E"/>
    <w:rsid w:val="00B3643B"/>
    <w:rsid w:val="00B36C72"/>
    <w:rsid w:val="00B37789"/>
    <w:rsid w:val="00B37AA9"/>
    <w:rsid w:val="00B41ADA"/>
    <w:rsid w:val="00B44A5B"/>
    <w:rsid w:val="00B44B15"/>
    <w:rsid w:val="00B44E2B"/>
    <w:rsid w:val="00B458C1"/>
    <w:rsid w:val="00B46AF9"/>
    <w:rsid w:val="00B46BF6"/>
    <w:rsid w:val="00B471B9"/>
    <w:rsid w:val="00B47C4B"/>
    <w:rsid w:val="00B47E78"/>
    <w:rsid w:val="00B504A8"/>
    <w:rsid w:val="00B50606"/>
    <w:rsid w:val="00B51687"/>
    <w:rsid w:val="00B52670"/>
    <w:rsid w:val="00B53AA2"/>
    <w:rsid w:val="00B53B9B"/>
    <w:rsid w:val="00B55DDD"/>
    <w:rsid w:val="00B57840"/>
    <w:rsid w:val="00B60908"/>
    <w:rsid w:val="00B626F2"/>
    <w:rsid w:val="00B62A9F"/>
    <w:rsid w:val="00B63B5A"/>
    <w:rsid w:val="00B644F0"/>
    <w:rsid w:val="00B64629"/>
    <w:rsid w:val="00B6683F"/>
    <w:rsid w:val="00B70320"/>
    <w:rsid w:val="00B705BC"/>
    <w:rsid w:val="00B718AA"/>
    <w:rsid w:val="00B71C58"/>
    <w:rsid w:val="00B73062"/>
    <w:rsid w:val="00B73540"/>
    <w:rsid w:val="00B750E4"/>
    <w:rsid w:val="00B76A20"/>
    <w:rsid w:val="00B770CB"/>
    <w:rsid w:val="00B77922"/>
    <w:rsid w:val="00B802B1"/>
    <w:rsid w:val="00B821B3"/>
    <w:rsid w:val="00B82832"/>
    <w:rsid w:val="00B829CD"/>
    <w:rsid w:val="00B84C36"/>
    <w:rsid w:val="00B86650"/>
    <w:rsid w:val="00B9052C"/>
    <w:rsid w:val="00B91B69"/>
    <w:rsid w:val="00B9344E"/>
    <w:rsid w:val="00B934E9"/>
    <w:rsid w:val="00BA1ED1"/>
    <w:rsid w:val="00BA2CE0"/>
    <w:rsid w:val="00BA4BB2"/>
    <w:rsid w:val="00BA51D1"/>
    <w:rsid w:val="00BB193A"/>
    <w:rsid w:val="00BB54B1"/>
    <w:rsid w:val="00BB5628"/>
    <w:rsid w:val="00BB5AE7"/>
    <w:rsid w:val="00BB5EE3"/>
    <w:rsid w:val="00BB60AE"/>
    <w:rsid w:val="00BC00E8"/>
    <w:rsid w:val="00BC0253"/>
    <w:rsid w:val="00BC1A29"/>
    <w:rsid w:val="00BC3F41"/>
    <w:rsid w:val="00BC4DE3"/>
    <w:rsid w:val="00BC63E6"/>
    <w:rsid w:val="00BC6FF9"/>
    <w:rsid w:val="00BD12EC"/>
    <w:rsid w:val="00BD1B6C"/>
    <w:rsid w:val="00BD20C8"/>
    <w:rsid w:val="00BD2A30"/>
    <w:rsid w:val="00BD5FFE"/>
    <w:rsid w:val="00BD62A2"/>
    <w:rsid w:val="00BD7B1E"/>
    <w:rsid w:val="00BE01CA"/>
    <w:rsid w:val="00BE1F41"/>
    <w:rsid w:val="00BE2606"/>
    <w:rsid w:val="00BE2759"/>
    <w:rsid w:val="00BE3CC7"/>
    <w:rsid w:val="00BE5D6E"/>
    <w:rsid w:val="00BE5E52"/>
    <w:rsid w:val="00BE63F9"/>
    <w:rsid w:val="00BF047C"/>
    <w:rsid w:val="00BF202C"/>
    <w:rsid w:val="00BF2519"/>
    <w:rsid w:val="00BF55C1"/>
    <w:rsid w:val="00BF597E"/>
    <w:rsid w:val="00BF681B"/>
    <w:rsid w:val="00BF76CD"/>
    <w:rsid w:val="00C01B85"/>
    <w:rsid w:val="00C02ABB"/>
    <w:rsid w:val="00C0590C"/>
    <w:rsid w:val="00C069FA"/>
    <w:rsid w:val="00C06BD1"/>
    <w:rsid w:val="00C12735"/>
    <w:rsid w:val="00C13843"/>
    <w:rsid w:val="00C14951"/>
    <w:rsid w:val="00C165D4"/>
    <w:rsid w:val="00C1705A"/>
    <w:rsid w:val="00C17448"/>
    <w:rsid w:val="00C21D4B"/>
    <w:rsid w:val="00C21FAA"/>
    <w:rsid w:val="00C22ADD"/>
    <w:rsid w:val="00C240D1"/>
    <w:rsid w:val="00C247DF"/>
    <w:rsid w:val="00C30DF0"/>
    <w:rsid w:val="00C3123E"/>
    <w:rsid w:val="00C31F46"/>
    <w:rsid w:val="00C33859"/>
    <w:rsid w:val="00C34AF5"/>
    <w:rsid w:val="00C36F2D"/>
    <w:rsid w:val="00C3776D"/>
    <w:rsid w:val="00C37E2C"/>
    <w:rsid w:val="00C4287F"/>
    <w:rsid w:val="00C43263"/>
    <w:rsid w:val="00C43E27"/>
    <w:rsid w:val="00C46201"/>
    <w:rsid w:val="00C468FF"/>
    <w:rsid w:val="00C46B3D"/>
    <w:rsid w:val="00C5049C"/>
    <w:rsid w:val="00C511C9"/>
    <w:rsid w:val="00C51A36"/>
    <w:rsid w:val="00C51F68"/>
    <w:rsid w:val="00C531E1"/>
    <w:rsid w:val="00C53750"/>
    <w:rsid w:val="00C55228"/>
    <w:rsid w:val="00C55B81"/>
    <w:rsid w:val="00C55D0B"/>
    <w:rsid w:val="00C57431"/>
    <w:rsid w:val="00C608B4"/>
    <w:rsid w:val="00C6707D"/>
    <w:rsid w:val="00C701CA"/>
    <w:rsid w:val="00C7045F"/>
    <w:rsid w:val="00C711BC"/>
    <w:rsid w:val="00C7134F"/>
    <w:rsid w:val="00C71E3A"/>
    <w:rsid w:val="00C72871"/>
    <w:rsid w:val="00C72A74"/>
    <w:rsid w:val="00C733EC"/>
    <w:rsid w:val="00C73798"/>
    <w:rsid w:val="00C742BA"/>
    <w:rsid w:val="00C74890"/>
    <w:rsid w:val="00C74D03"/>
    <w:rsid w:val="00C7741C"/>
    <w:rsid w:val="00C77C09"/>
    <w:rsid w:val="00C81C6D"/>
    <w:rsid w:val="00C82D59"/>
    <w:rsid w:val="00C82E57"/>
    <w:rsid w:val="00C8346C"/>
    <w:rsid w:val="00C85C5F"/>
    <w:rsid w:val="00C86655"/>
    <w:rsid w:val="00C86A77"/>
    <w:rsid w:val="00C87C5C"/>
    <w:rsid w:val="00C90B9F"/>
    <w:rsid w:val="00C91440"/>
    <w:rsid w:val="00C915B8"/>
    <w:rsid w:val="00C92103"/>
    <w:rsid w:val="00C925A3"/>
    <w:rsid w:val="00C9295A"/>
    <w:rsid w:val="00C933CF"/>
    <w:rsid w:val="00C94A6A"/>
    <w:rsid w:val="00C96D69"/>
    <w:rsid w:val="00C972F4"/>
    <w:rsid w:val="00C97F14"/>
    <w:rsid w:val="00CA2A2E"/>
    <w:rsid w:val="00CA3D6C"/>
    <w:rsid w:val="00CA50CB"/>
    <w:rsid w:val="00CA5EE0"/>
    <w:rsid w:val="00CA74A6"/>
    <w:rsid w:val="00CB07DD"/>
    <w:rsid w:val="00CB1244"/>
    <w:rsid w:val="00CB21D6"/>
    <w:rsid w:val="00CB2B81"/>
    <w:rsid w:val="00CB2FBD"/>
    <w:rsid w:val="00CB3D50"/>
    <w:rsid w:val="00CB6BF2"/>
    <w:rsid w:val="00CB753A"/>
    <w:rsid w:val="00CC093B"/>
    <w:rsid w:val="00CD2260"/>
    <w:rsid w:val="00CD3F50"/>
    <w:rsid w:val="00CE0DEE"/>
    <w:rsid w:val="00CE285F"/>
    <w:rsid w:val="00CE2E92"/>
    <w:rsid w:val="00CE315A"/>
    <w:rsid w:val="00CE3514"/>
    <w:rsid w:val="00CF2E95"/>
    <w:rsid w:val="00CF6097"/>
    <w:rsid w:val="00CF62DB"/>
    <w:rsid w:val="00CF69FC"/>
    <w:rsid w:val="00CF6BB7"/>
    <w:rsid w:val="00CF7799"/>
    <w:rsid w:val="00D00095"/>
    <w:rsid w:val="00D0191B"/>
    <w:rsid w:val="00D02B34"/>
    <w:rsid w:val="00D0332F"/>
    <w:rsid w:val="00D0416C"/>
    <w:rsid w:val="00D04373"/>
    <w:rsid w:val="00D06819"/>
    <w:rsid w:val="00D06F59"/>
    <w:rsid w:val="00D11AE8"/>
    <w:rsid w:val="00D13BEC"/>
    <w:rsid w:val="00D13FEA"/>
    <w:rsid w:val="00D200B9"/>
    <w:rsid w:val="00D20470"/>
    <w:rsid w:val="00D20AA7"/>
    <w:rsid w:val="00D222C3"/>
    <w:rsid w:val="00D224AB"/>
    <w:rsid w:val="00D2351C"/>
    <w:rsid w:val="00D23FD6"/>
    <w:rsid w:val="00D24498"/>
    <w:rsid w:val="00D24EBC"/>
    <w:rsid w:val="00D26434"/>
    <w:rsid w:val="00D26AB8"/>
    <w:rsid w:val="00D33F60"/>
    <w:rsid w:val="00D3544B"/>
    <w:rsid w:val="00D359E4"/>
    <w:rsid w:val="00D3683B"/>
    <w:rsid w:val="00D37862"/>
    <w:rsid w:val="00D37979"/>
    <w:rsid w:val="00D40F65"/>
    <w:rsid w:val="00D412D9"/>
    <w:rsid w:val="00D42ECF"/>
    <w:rsid w:val="00D42FBD"/>
    <w:rsid w:val="00D439E2"/>
    <w:rsid w:val="00D43A1B"/>
    <w:rsid w:val="00D440CD"/>
    <w:rsid w:val="00D503EB"/>
    <w:rsid w:val="00D51302"/>
    <w:rsid w:val="00D532DF"/>
    <w:rsid w:val="00D56A71"/>
    <w:rsid w:val="00D56B5B"/>
    <w:rsid w:val="00D57A07"/>
    <w:rsid w:val="00D57D46"/>
    <w:rsid w:val="00D60F82"/>
    <w:rsid w:val="00D64E4B"/>
    <w:rsid w:val="00D6723B"/>
    <w:rsid w:val="00D67E26"/>
    <w:rsid w:val="00D702B0"/>
    <w:rsid w:val="00D7281B"/>
    <w:rsid w:val="00D7291B"/>
    <w:rsid w:val="00D77CC6"/>
    <w:rsid w:val="00D80868"/>
    <w:rsid w:val="00D80F8E"/>
    <w:rsid w:val="00D824DE"/>
    <w:rsid w:val="00D83421"/>
    <w:rsid w:val="00D8388C"/>
    <w:rsid w:val="00D850AA"/>
    <w:rsid w:val="00D91918"/>
    <w:rsid w:val="00D91F9A"/>
    <w:rsid w:val="00D93BFA"/>
    <w:rsid w:val="00D94084"/>
    <w:rsid w:val="00D97805"/>
    <w:rsid w:val="00DA198A"/>
    <w:rsid w:val="00DA35E9"/>
    <w:rsid w:val="00DA488E"/>
    <w:rsid w:val="00DA4AE0"/>
    <w:rsid w:val="00DA4F57"/>
    <w:rsid w:val="00DA547C"/>
    <w:rsid w:val="00DB016D"/>
    <w:rsid w:val="00DB0B2E"/>
    <w:rsid w:val="00DB2443"/>
    <w:rsid w:val="00DB2649"/>
    <w:rsid w:val="00DB2EC6"/>
    <w:rsid w:val="00DB3E3F"/>
    <w:rsid w:val="00DB5622"/>
    <w:rsid w:val="00DB5A16"/>
    <w:rsid w:val="00DB5AAA"/>
    <w:rsid w:val="00DB69D1"/>
    <w:rsid w:val="00DB6C0D"/>
    <w:rsid w:val="00DC1BC0"/>
    <w:rsid w:val="00DC201E"/>
    <w:rsid w:val="00DC2056"/>
    <w:rsid w:val="00DC2993"/>
    <w:rsid w:val="00DC38BE"/>
    <w:rsid w:val="00DC5579"/>
    <w:rsid w:val="00DC5FCF"/>
    <w:rsid w:val="00DD09CD"/>
    <w:rsid w:val="00DD09D1"/>
    <w:rsid w:val="00DD23FB"/>
    <w:rsid w:val="00DD2E18"/>
    <w:rsid w:val="00DD35E1"/>
    <w:rsid w:val="00DD4D8E"/>
    <w:rsid w:val="00DE0F13"/>
    <w:rsid w:val="00DE0FCD"/>
    <w:rsid w:val="00DE1CC4"/>
    <w:rsid w:val="00DE2378"/>
    <w:rsid w:val="00DE2B8E"/>
    <w:rsid w:val="00DE2EDE"/>
    <w:rsid w:val="00DE321D"/>
    <w:rsid w:val="00DE32FB"/>
    <w:rsid w:val="00DE554B"/>
    <w:rsid w:val="00DE6D81"/>
    <w:rsid w:val="00DF03AC"/>
    <w:rsid w:val="00DF0E25"/>
    <w:rsid w:val="00DF1543"/>
    <w:rsid w:val="00DF2C58"/>
    <w:rsid w:val="00DF4915"/>
    <w:rsid w:val="00DF60E8"/>
    <w:rsid w:val="00DF798B"/>
    <w:rsid w:val="00E00362"/>
    <w:rsid w:val="00E03C12"/>
    <w:rsid w:val="00E054C1"/>
    <w:rsid w:val="00E057F8"/>
    <w:rsid w:val="00E0692E"/>
    <w:rsid w:val="00E069FA"/>
    <w:rsid w:val="00E07027"/>
    <w:rsid w:val="00E10E2E"/>
    <w:rsid w:val="00E1300F"/>
    <w:rsid w:val="00E13844"/>
    <w:rsid w:val="00E153C8"/>
    <w:rsid w:val="00E16580"/>
    <w:rsid w:val="00E1737F"/>
    <w:rsid w:val="00E24147"/>
    <w:rsid w:val="00E26EF2"/>
    <w:rsid w:val="00E273FB"/>
    <w:rsid w:val="00E27414"/>
    <w:rsid w:val="00E30EB2"/>
    <w:rsid w:val="00E310AF"/>
    <w:rsid w:val="00E32975"/>
    <w:rsid w:val="00E33A68"/>
    <w:rsid w:val="00E35169"/>
    <w:rsid w:val="00E35D7E"/>
    <w:rsid w:val="00E412B2"/>
    <w:rsid w:val="00E4175B"/>
    <w:rsid w:val="00E421D2"/>
    <w:rsid w:val="00E4256A"/>
    <w:rsid w:val="00E434CF"/>
    <w:rsid w:val="00E453C3"/>
    <w:rsid w:val="00E4652A"/>
    <w:rsid w:val="00E4667D"/>
    <w:rsid w:val="00E46E63"/>
    <w:rsid w:val="00E50267"/>
    <w:rsid w:val="00E50916"/>
    <w:rsid w:val="00E50C61"/>
    <w:rsid w:val="00E54AA1"/>
    <w:rsid w:val="00E55C1E"/>
    <w:rsid w:val="00E61169"/>
    <w:rsid w:val="00E6224C"/>
    <w:rsid w:val="00E6282E"/>
    <w:rsid w:val="00E64234"/>
    <w:rsid w:val="00E64569"/>
    <w:rsid w:val="00E67BCE"/>
    <w:rsid w:val="00E67D81"/>
    <w:rsid w:val="00E67F6B"/>
    <w:rsid w:val="00E73591"/>
    <w:rsid w:val="00E752B8"/>
    <w:rsid w:val="00E75D79"/>
    <w:rsid w:val="00E75E3C"/>
    <w:rsid w:val="00E8036C"/>
    <w:rsid w:val="00E8219F"/>
    <w:rsid w:val="00E829B5"/>
    <w:rsid w:val="00E86069"/>
    <w:rsid w:val="00E87EEF"/>
    <w:rsid w:val="00E90FE1"/>
    <w:rsid w:val="00E9127E"/>
    <w:rsid w:val="00E930FB"/>
    <w:rsid w:val="00E93618"/>
    <w:rsid w:val="00E96B36"/>
    <w:rsid w:val="00E971DA"/>
    <w:rsid w:val="00E97A1F"/>
    <w:rsid w:val="00E97B40"/>
    <w:rsid w:val="00EA0A76"/>
    <w:rsid w:val="00EA2937"/>
    <w:rsid w:val="00EA3021"/>
    <w:rsid w:val="00EA40AA"/>
    <w:rsid w:val="00EA540A"/>
    <w:rsid w:val="00EA6FEB"/>
    <w:rsid w:val="00EB0164"/>
    <w:rsid w:val="00EB1EB8"/>
    <w:rsid w:val="00EB2280"/>
    <w:rsid w:val="00EB3BA4"/>
    <w:rsid w:val="00EB405F"/>
    <w:rsid w:val="00EB42B2"/>
    <w:rsid w:val="00EB4E3E"/>
    <w:rsid w:val="00EB531E"/>
    <w:rsid w:val="00EB7920"/>
    <w:rsid w:val="00EC08C4"/>
    <w:rsid w:val="00EC1F6C"/>
    <w:rsid w:val="00EC2065"/>
    <w:rsid w:val="00EC4AF2"/>
    <w:rsid w:val="00EC4DC1"/>
    <w:rsid w:val="00EC4F54"/>
    <w:rsid w:val="00EC54CC"/>
    <w:rsid w:val="00EC6740"/>
    <w:rsid w:val="00EC6B6F"/>
    <w:rsid w:val="00EC7CC7"/>
    <w:rsid w:val="00ED0F62"/>
    <w:rsid w:val="00ED133E"/>
    <w:rsid w:val="00ED1C1D"/>
    <w:rsid w:val="00ED35DE"/>
    <w:rsid w:val="00ED61A2"/>
    <w:rsid w:val="00ED675C"/>
    <w:rsid w:val="00ED72A9"/>
    <w:rsid w:val="00ED763A"/>
    <w:rsid w:val="00EE0B1C"/>
    <w:rsid w:val="00EE1CFD"/>
    <w:rsid w:val="00EE2282"/>
    <w:rsid w:val="00EE3079"/>
    <w:rsid w:val="00EE418A"/>
    <w:rsid w:val="00EE4F30"/>
    <w:rsid w:val="00EE5480"/>
    <w:rsid w:val="00EE5950"/>
    <w:rsid w:val="00EF021B"/>
    <w:rsid w:val="00EF1484"/>
    <w:rsid w:val="00EF20AE"/>
    <w:rsid w:val="00EF3241"/>
    <w:rsid w:val="00EF3FB8"/>
    <w:rsid w:val="00EF5760"/>
    <w:rsid w:val="00EF5E54"/>
    <w:rsid w:val="00F00235"/>
    <w:rsid w:val="00F00BAC"/>
    <w:rsid w:val="00F01603"/>
    <w:rsid w:val="00F01F9E"/>
    <w:rsid w:val="00F02AA3"/>
    <w:rsid w:val="00F041F2"/>
    <w:rsid w:val="00F04272"/>
    <w:rsid w:val="00F05042"/>
    <w:rsid w:val="00F057AC"/>
    <w:rsid w:val="00F06B33"/>
    <w:rsid w:val="00F07BC4"/>
    <w:rsid w:val="00F100FA"/>
    <w:rsid w:val="00F10733"/>
    <w:rsid w:val="00F1248C"/>
    <w:rsid w:val="00F14B40"/>
    <w:rsid w:val="00F150F1"/>
    <w:rsid w:val="00F23249"/>
    <w:rsid w:val="00F23C27"/>
    <w:rsid w:val="00F24079"/>
    <w:rsid w:val="00F253E7"/>
    <w:rsid w:val="00F25D6F"/>
    <w:rsid w:val="00F266AA"/>
    <w:rsid w:val="00F27ABC"/>
    <w:rsid w:val="00F329F6"/>
    <w:rsid w:val="00F330D7"/>
    <w:rsid w:val="00F33A2C"/>
    <w:rsid w:val="00F35FDE"/>
    <w:rsid w:val="00F36C70"/>
    <w:rsid w:val="00F419CC"/>
    <w:rsid w:val="00F43AD3"/>
    <w:rsid w:val="00F44741"/>
    <w:rsid w:val="00F45FEE"/>
    <w:rsid w:val="00F47192"/>
    <w:rsid w:val="00F4791B"/>
    <w:rsid w:val="00F52CE0"/>
    <w:rsid w:val="00F52CEC"/>
    <w:rsid w:val="00F52CF4"/>
    <w:rsid w:val="00F57872"/>
    <w:rsid w:val="00F60D1F"/>
    <w:rsid w:val="00F6272A"/>
    <w:rsid w:val="00F62821"/>
    <w:rsid w:val="00F64142"/>
    <w:rsid w:val="00F643CF"/>
    <w:rsid w:val="00F66C2F"/>
    <w:rsid w:val="00F70B34"/>
    <w:rsid w:val="00F7337B"/>
    <w:rsid w:val="00F73AB0"/>
    <w:rsid w:val="00F743BE"/>
    <w:rsid w:val="00F749EA"/>
    <w:rsid w:val="00F75B43"/>
    <w:rsid w:val="00F768C5"/>
    <w:rsid w:val="00F77DFF"/>
    <w:rsid w:val="00F77FA7"/>
    <w:rsid w:val="00F81AA1"/>
    <w:rsid w:val="00F81D47"/>
    <w:rsid w:val="00F83556"/>
    <w:rsid w:val="00F8360E"/>
    <w:rsid w:val="00F85AF1"/>
    <w:rsid w:val="00F86224"/>
    <w:rsid w:val="00F875DC"/>
    <w:rsid w:val="00F919A2"/>
    <w:rsid w:val="00F929DB"/>
    <w:rsid w:val="00F933FF"/>
    <w:rsid w:val="00F97461"/>
    <w:rsid w:val="00FA55EC"/>
    <w:rsid w:val="00FA6135"/>
    <w:rsid w:val="00FA689F"/>
    <w:rsid w:val="00FA6B05"/>
    <w:rsid w:val="00FA71D2"/>
    <w:rsid w:val="00FA7756"/>
    <w:rsid w:val="00FB0B9E"/>
    <w:rsid w:val="00FB13C0"/>
    <w:rsid w:val="00FB426F"/>
    <w:rsid w:val="00FB63E9"/>
    <w:rsid w:val="00FB63EF"/>
    <w:rsid w:val="00FC0249"/>
    <w:rsid w:val="00FC19F2"/>
    <w:rsid w:val="00FC32FF"/>
    <w:rsid w:val="00FC3A47"/>
    <w:rsid w:val="00FC3B31"/>
    <w:rsid w:val="00FC3E4D"/>
    <w:rsid w:val="00FC4430"/>
    <w:rsid w:val="00FC4C95"/>
    <w:rsid w:val="00FC743C"/>
    <w:rsid w:val="00FC7DD0"/>
    <w:rsid w:val="00FD0A28"/>
    <w:rsid w:val="00FD0B04"/>
    <w:rsid w:val="00FD1889"/>
    <w:rsid w:val="00FD2284"/>
    <w:rsid w:val="00FD37F2"/>
    <w:rsid w:val="00FD38EC"/>
    <w:rsid w:val="00FD54A9"/>
    <w:rsid w:val="00FD5B7F"/>
    <w:rsid w:val="00FD7235"/>
    <w:rsid w:val="00FD7AD6"/>
    <w:rsid w:val="00FD7D89"/>
    <w:rsid w:val="00FE0BCB"/>
    <w:rsid w:val="00FE2E2C"/>
    <w:rsid w:val="00FE40AE"/>
    <w:rsid w:val="00FE475B"/>
    <w:rsid w:val="00FE4B20"/>
    <w:rsid w:val="00FE4E16"/>
    <w:rsid w:val="00FE50AF"/>
    <w:rsid w:val="00FE56BC"/>
    <w:rsid w:val="00FE58C6"/>
    <w:rsid w:val="00FE5D46"/>
    <w:rsid w:val="00FF198D"/>
    <w:rsid w:val="00FF2F0C"/>
    <w:rsid w:val="00FF32ED"/>
    <w:rsid w:val="00FF3889"/>
    <w:rsid w:val="00FF3D9B"/>
    <w:rsid w:val="00FF4E04"/>
    <w:rsid w:val="00FF4F4A"/>
    <w:rsid w:val="00FF5E73"/>
    <w:rsid w:val="00FF6675"/>
    <w:rsid w:val="00FF762E"/>
    <w:rsid w:val="01C212BA"/>
    <w:rsid w:val="04C26386"/>
    <w:rsid w:val="08701643"/>
    <w:rsid w:val="08D71549"/>
    <w:rsid w:val="108219C2"/>
    <w:rsid w:val="171D1D29"/>
    <w:rsid w:val="17691215"/>
    <w:rsid w:val="1943738C"/>
    <w:rsid w:val="1FB0218A"/>
    <w:rsid w:val="233E6004"/>
    <w:rsid w:val="24842E40"/>
    <w:rsid w:val="263B7FF9"/>
    <w:rsid w:val="2C904136"/>
    <w:rsid w:val="2D8D7657"/>
    <w:rsid w:val="2FBA320F"/>
    <w:rsid w:val="3A9F331D"/>
    <w:rsid w:val="3DFC0B3E"/>
    <w:rsid w:val="3E1F54BC"/>
    <w:rsid w:val="42910FBB"/>
    <w:rsid w:val="42D463D3"/>
    <w:rsid w:val="4A2B4298"/>
    <w:rsid w:val="57967A03"/>
    <w:rsid w:val="59957BC5"/>
    <w:rsid w:val="5EA12B9A"/>
    <w:rsid w:val="61052E5B"/>
    <w:rsid w:val="660E72FE"/>
    <w:rsid w:val="67B1535A"/>
    <w:rsid w:val="68452589"/>
    <w:rsid w:val="777734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7"/>
    <w:semiHidden/>
    <w:unhideWhenUsed/>
    <w:qFormat/>
    <w:uiPriority w:val="99"/>
    <w:pPr>
      <w:spacing w:after="120"/>
      <w:ind w:left="420" w:leftChars="200"/>
    </w:pPr>
  </w:style>
  <w:style w:type="paragraph" w:styleId="3">
    <w:name w:val="Plain Text"/>
    <w:basedOn w:val="1"/>
    <w:link w:val="20"/>
    <w:unhideWhenUsed/>
    <w:qFormat/>
    <w:uiPriority w:val="0"/>
    <w:rPr>
      <w:rFonts w:ascii="宋体" w:hAnsi="Courier New"/>
    </w:r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8">
    <w:name w:val="Body Text First Indent 2"/>
    <w:basedOn w:val="2"/>
    <w:link w:val="18"/>
    <w:qFormat/>
    <w:uiPriority w:val="0"/>
    <w:pPr>
      <w:spacing w:after="0"/>
      <w:ind w:left="0" w:leftChars="0" w:firstLine="420" w:firstLineChars="200"/>
      <w:jc w:val="left"/>
    </w:pPr>
    <w:rPr>
      <w:rFonts w:ascii="宋体" w:hAnsi="宋体" w:eastAsia="仿宋_GB2312"/>
      <w:color w:val="000000"/>
      <w:sz w:val="28"/>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character" w:customStyle="1" w:styleId="13">
    <w:name w:val="页眉 Char"/>
    <w:basedOn w:val="11"/>
    <w:link w:val="6"/>
    <w:qFormat/>
    <w:uiPriority w:val="99"/>
    <w:rPr>
      <w:rFonts w:ascii="Times New Roman" w:hAnsi="Times New Roman" w:eastAsia="宋体" w:cs="Times New Roman"/>
      <w:sz w:val="18"/>
      <w:szCs w:val="18"/>
    </w:rPr>
  </w:style>
  <w:style w:type="character" w:customStyle="1" w:styleId="14">
    <w:name w:val="页脚 Char"/>
    <w:basedOn w:val="11"/>
    <w:link w:val="5"/>
    <w:qFormat/>
    <w:uiPriority w:val="99"/>
    <w:rPr>
      <w:rFonts w:ascii="Times New Roman" w:hAnsi="Times New Roman" w:eastAsia="宋体" w:cs="Times New Roman"/>
      <w:sz w:val="18"/>
      <w:szCs w:val="18"/>
    </w:rPr>
  </w:style>
  <w:style w:type="character" w:customStyle="1" w:styleId="15">
    <w:name w:val="批注框文本 Char"/>
    <w:basedOn w:val="11"/>
    <w:link w:val="4"/>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正文文本缩进 Char"/>
    <w:basedOn w:val="11"/>
    <w:link w:val="2"/>
    <w:semiHidden/>
    <w:qFormat/>
    <w:uiPriority w:val="99"/>
    <w:rPr>
      <w:rFonts w:ascii="Times New Roman" w:hAnsi="Times New Roman" w:eastAsia="宋体" w:cs="Times New Roman"/>
      <w:kern w:val="2"/>
      <w:sz w:val="21"/>
    </w:rPr>
  </w:style>
  <w:style w:type="character" w:customStyle="1" w:styleId="18">
    <w:name w:val="正文首行缩进 2 Char"/>
    <w:basedOn w:val="17"/>
    <w:link w:val="8"/>
    <w:qFormat/>
    <w:uiPriority w:val="0"/>
    <w:rPr>
      <w:rFonts w:ascii="宋体" w:hAnsi="宋体" w:eastAsia="仿宋_GB2312"/>
      <w:color w:val="000000"/>
      <w:sz w:val="28"/>
    </w:rPr>
  </w:style>
  <w:style w:type="paragraph" w:customStyle="1" w:styleId="19">
    <w:name w:val="表格文字"/>
    <w:basedOn w:val="1"/>
    <w:qFormat/>
    <w:uiPriority w:val="0"/>
    <w:pPr>
      <w:spacing w:before="25" w:after="25"/>
    </w:pPr>
    <w:rPr>
      <w:bCs/>
      <w:spacing w:val="10"/>
    </w:rPr>
  </w:style>
  <w:style w:type="character" w:customStyle="1" w:styleId="20">
    <w:name w:val="纯文本 Char"/>
    <w:basedOn w:val="11"/>
    <w:link w:val="3"/>
    <w:qFormat/>
    <w:uiPriority w:val="0"/>
    <w:rPr>
      <w:rFonts w:ascii="宋体" w:hAnsi="Courier New" w:eastAsia="宋体" w:cs="Times New Roman"/>
      <w:kern w:val="2"/>
      <w:sz w:val="21"/>
    </w:rPr>
  </w:style>
  <w:style w:type="paragraph" w:styleId="21">
    <w:name w:val="List Paragraph"/>
    <w:basedOn w:val="1"/>
    <w:qFormat/>
    <w:uiPriority w:val="99"/>
    <w:pPr>
      <w:ind w:firstLine="420" w:firstLineChars="200"/>
    </w:pPr>
  </w:style>
  <w:style w:type="character" w:customStyle="1" w:styleId="22">
    <w:name w:val="title3"/>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7F081-7B5C-47A9-ABE2-0705544D769F}">
  <ds:schemaRefs/>
</ds:datastoreItem>
</file>

<file path=docProps/app.xml><?xml version="1.0" encoding="utf-8"?>
<Properties xmlns="http://schemas.openxmlformats.org/officeDocument/2006/extended-properties" xmlns:vt="http://schemas.openxmlformats.org/officeDocument/2006/docPropsVTypes">
  <Template>Normal</Template>
  <Pages>34</Pages>
  <Words>3127</Words>
  <Characters>17824</Characters>
  <Lines>148</Lines>
  <Paragraphs>41</Paragraphs>
  <TotalTime>3</TotalTime>
  <ScaleCrop>false</ScaleCrop>
  <LinksUpToDate>false</LinksUpToDate>
  <CharactersWithSpaces>20910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2021-02-27T01:49:21Z</dcterms:modified>
  <cp:revision>1682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