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113780" cy="9299575"/>
            <wp:effectExtent l="0" t="0" r="7620" b="9525"/>
            <wp:docPr id="2" name="图片 2" descr="mmexport1614239093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6142390937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929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28"/>
        <w:gridCol w:w="1325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石家庄曼德科技有限公司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石家庄桥西区维明南大街139号白金公寓1-1504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2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张嘉瑜</w:t>
            </w:r>
            <w:bookmarkEnd w:id="2"/>
          </w:p>
        </w:tc>
        <w:tc>
          <w:tcPr>
            <w:tcW w:w="132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13831150054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21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32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mandekeji2012@163.com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2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0082-2021-O</w:t>
            </w:r>
            <w:bookmarkEnd w:id="8"/>
          </w:p>
        </w:tc>
        <w:tc>
          <w:tcPr>
            <w:tcW w:w="133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  <w:lang w:val="en-US" w:eastAsia="zh-CN"/>
              </w:rPr>
              <w:t>现场补充审核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保持认证注册资格：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</w:rPr>
              <w:t>验证组织管理体系是否持续有效运行，以确定是否推荐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继续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</w:rPr>
              <w:t>保持认证注册资格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其它：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对远程初次审核的现场补充验证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印刷机械设备配件、印刷耗材(润版液、清洗剂)、环保设备、机械设备配件的销售所涉及场所的相关职业健康安全管理活动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2021年02月24日 下午至2021年02月24日 下午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1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1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40005</wp:posOffset>
                  </wp:positionV>
                  <wp:extent cx="1027430" cy="494665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2021.1.27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2021.2.23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2021.2.23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3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2021.2.24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资源提供；危险源辨识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5.1/5.2/5.3/6.1/6.2/7.1/9.3/10.1/10.3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组织的岗位、职责权限；目标、指标管理方案；危险源识别评价；法律法规要求；文件化信息；能力；意识；沟通；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运行策划和控制；应急准备和响应；监视和测量；合规性评价；内部审核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5.3/5.4/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9.1.1/9.1.2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9.2/10.2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组织的岗位、职责权限；目标、指标管理方案；危险源识别评价；运行的策划和控制；应急准备和响应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E63928"/>
    <w:rsid w:val="6FA97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2021-02-26T01:46:28Z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