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测斜仪测量外筒外径尺寸测量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48±0.1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48mm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(0-150)mm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DQYB /CL-01《测斜仪测量外筒外径尺寸测量过程控制规范》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张志超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测斜仪测量外筒外径尺寸测量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测斜仪测量外筒外径尺寸测量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测斜仪测量外筒外径尺寸测量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见《测斜仪测量外筒外径尺寸测量过程监视统计质控图》附录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1"/>
        </w:rPr>
        <w:t>审核日期：2021年2月25日    审核员：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0" distR="0">
            <wp:extent cx="694690" cy="278130"/>
            <wp:effectExtent l="0" t="0" r="3810" b="1270"/>
            <wp:docPr id="3" name="图片 1" descr="ba16750c787eac50203141b538c6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ba16750c787eac50203141b538c641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szCs w:val="21"/>
        </w:rPr>
        <w:drawing>
          <wp:inline distT="0" distB="0" distL="114300" distR="114300">
            <wp:extent cx="581660" cy="324485"/>
            <wp:effectExtent l="0" t="0" r="2540" b="5715"/>
            <wp:docPr id="25" name="图片 25" descr="c8295ef3666738a5507a9faa0816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8295ef3666738a5507a9faa081697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6185" t="12161" r="57101" b="76662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24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2021-02-25T13:00:07Z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