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70"/>
        <w:gridCol w:w="136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四川蓝业商贸有限公司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市场调研→签订协议→组织采购</w:t>
            </w:r>
            <w:bookmarkStart w:id="6" w:name="_GoBack"/>
            <w:bookmarkEnd w:id="6"/>
            <w:r>
              <w:rPr>
                <w:rFonts w:hint="eastAsia"/>
                <w:lang w:val="en-US" w:eastAsia="zh-CN"/>
              </w:rPr>
              <w:t>用户产品与验收→组织发货与交付→售后服务</w:t>
            </w:r>
            <w:r>
              <w:rPr>
                <w:rFonts w:hint="eastAsia"/>
                <w:sz w:val="24"/>
              </w:rPr>
              <w:t>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潜在火灾和固废排放，采取管理方案和应急处理方案控制。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火灾和触电，采取管理方案和应急处理方案控制。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GB/T 19141-2011《家用太阳能热水系统技术条件》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GB_T 3325-2008 金属家具通用技术条件。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93980</wp:posOffset>
            </wp:positionV>
            <wp:extent cx="323850" cy="335280"/>
            <wp:effectExtent l="0" t="0" r="635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2021.2.21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2021.2.21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32D7721"/>
    <w:rsid w:val="56A53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qFormat/>
    <w:locked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2021-02-25T05:37:06Z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