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004" w:type="dxa"/>
            <w:vAlign w:val="center"/>
          </w:tcPr>
          <w:p>
            <w:pPr>
              <w:rPr>
                <w:rFonts w:ascii="楷体" w:hAnsi="楷体" w:eastAsia="楷体"/>
              </w:rPr>
            </w:pPr>
            <w:r>
              <w:rPr>
                <w:rFonts w:hint="eastAsia" w:ascii="楷体" w:hAnsi="楷体" w:eastAsia="楷体"/>
              </w:rPr>
              <w:t xml:space="preserve">受审核部门：管理层       主管领导：宋海波/刘志敏  </w:t>
            </w:r>
            <w:r>
              <w:rPr>
                <w:rFonts w:ascii="楷体" w:hAnsi="楷体" w:eastAsia="楷体"/>
              </w:rPr>
              <w:t xml:space="preserve">  </w:t>
            </w:r>
            <w:r>
              <w:rPr>
                <w:rFonts w:hint="eastAsia" w:ascii="楷体" w:hAnsi="楷体" w:eastAsia="楷体"/>
              </w:rPr>
              <w:t>陪同人员：刘惠姝</w:t>
            </w:r>
          </w:p>
        </w:tc>
        <w:tc>
          <w:tcPr>
            <w:tcW w:w="1585"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004" w:type="dxa"/>
            <w:vAlign w:val="center"/>
          </w:tcPr>
          <w:p>
            <w:pPr>
              <w:rPr>
                <w:rFonts w:ascii="楷体" w:hAnsi="楷体" w:eastAsia="楷体"/>
              </w:rPr>
            </w:pPr>
            <w:r>
              <w:rPr>
                <w:rFonts w:hint="eastAsia" w:ascii="楷体" w:hAnsi="楷体" w:eastAsia="楷体"/>
              </w:rPr>
              <w:t>审核员：</w:t>
            </w:r>
            <w:r>
              <w:rPr>
                <w:rFonts w:hint="eastAsia" w:ascii="楷体" w:hAnsi="楷体" w:eastAsia="楷体" w:cs="宋体"/>
              </w:rPr>
              <w:t xml:space="preserve">周文廷 </w:t>
            </w:r>
            <w:r>
              <w:rPr>
                <w:rFonts w:ascii="楷体" w:hAnsi="楷体" w:eastAsia="楷体" w:cs="宋体"/>
              </w:rPr>
              <w:t xml:space="preserve"> </w:t>
            </w:r>
            <w:r>
              <w:rPr>
                <w:rFonts w:hint="eastAsia" w:ascii="楷体" w:hAnsi="楷体" w:eastAsia="楷体"/>
              </w:rPr>
              <w:t xml:space="preserve">        </w:t>
            </w:r>
            <w:r>
              <w:rPr>
                <w:rFonts w:ascii="楷体" w:hAnsi="楷体" w:eastAsia="楷体"/>
              </w:rPr>
              <w:t xml:space="preserve"> </w:t>
            </w:r>
            <w:r>
              <w:rPr>
                <w:rFonts w:hint="eastAsia" w:ascii="楷体" w:hAnsi="楷体" w:eastAsia="楷体"/>
              </w:rPr>
              <w:t>审核时间：202</w:t>
            </w:r>
            <w:r>
              <w:rPr>
                <w:rFonts w:ascii="楷体" w:hAnsi="楷体" w:eastAsia="楷体"/>
              </w:rPr>
              <w:t>1.2.20</w:t>
            </w:r>
          </w:p>
        </w:tc>
        <w:tc>
          <w:tcPr>
            <w:tcW w:w="1585"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004" w:type="dxa"/>
            <w:vAlign w:val="center"/>
          </w:tcPr>
          <w:p>
            <w:pPr>
              <w:rPr>
                <w:rFonts w:ascii="楷体" w:hAnsi="楷体" w:eastAsia="楷体"/>
              </w:rPr>
            </w:pPr>
            <w:r>
              <w:rPr>
                <w:rFonts w:hint="eastAsia" w:ascii="楷体" w:hAnsi="楷体" w:eastAsia="楷体"/>
              </w:rPr>
              <w:t>审核条款：</w:t>
            </w:r>
            <w:r>
              <w:rPr>
                <w:rFonts w:hint="eastAsia" w:ascii="楷体" w:hAnsi="楷体" w:eastAsia="楷体"/>
                <w:b/>
              </w:rPr>
              <w:t xml:space="preserve">  4.1/4.2/4.3/4.4/5.2/5.3/6.1/6.2/6.3/7.1.1 /9.2/9.3</w:t>
            </w:r>
          </w:p>
        </w:tc>
        <w:tc>
          <w:tcPr>
            <w:tcW w:w="1585"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rPr>
              <w:t>公司概况，资质情况</w:t>
            </w:r>
          </w:p>
          <w:p>
            <w:pPr>
              <w:rPr>
                <w:rFonts w:ascii="楷体" w:hAnsi="楷体" w:eastAsia="楷体"/>
              </w:rPr>
            </w:pPr>
            <w:r>
              <w:rPr>
                <w:rFonts w:hint="eastAsia" w:ascii="楷体" w:hAnsi="楷体" w:eastAsia="楷体"/>
              </w:rPr>
              <w:t>组织机构、体系策划实施情况</w:t>
            </w:r>
          </w:p>
          <w:p>
            <w:pPr>
              <w:rPr>
                <w:rFonts w:ascii="楷体" w:hAnsi="楷体" w:eastAsia="楷体"/>
              </w:rPr>
            </w:pPr>
            <w:r>
              <w:rPr>
                <w:rFonts w:hint="eastAsia" w:ascii="楷体" w:hAnsi="楷体" w:eastAsia="楷体"/>
              </w:rPr>
              <w:t>认证范围确认</w:t>
            </w:r>
          </w:p>
          <w:p>
            <w:pPr>
              <w:rPr>
                <w:rFonts w:ascii="楷体" w:hAnsi="楷体" w:eastAsia="楷体"/>
              </w:rPr>
            </w:pPr>
            <w:r>
              <w:rPr>
                <w:rFonts w:hint="eastAsia" w:ascii="楷体" w:hAnsi="楷体" w:eastAsia="楷体"/>
              </w:rPr>
              <w:t>适用条款确认</w:t>
            </w:r>
          </w:p>
          <w:p>
            <w:pPr>
              <w:rPr>
                <w:rFonts w:ascii="楷体" w:hAnsi="楷体" w:eastAsia="楷体"/>
              </w:rPr>
            </w:pPr>
            <w:r>
              <w:rPr>
                <w:rFonts w:hint="eastAsia" w:ascii="楷体" w:hAnsi="楷体" w:eastAsia="楷体"/>
              </w:rPr>
              <w:t>外包过程</w:t>
            </w:r>
          </w:p>
        </w:tc>
        <w:tc>
          <w:tcPr>
            <w:tcW w:w="960" w:type="dxa"/>
          </w:tcPr>
          <w:p>
            <w:pPr>
              <w:rPr>
                <w:rFonts w:ascii="楷体" w:hAnsi="楷体" w:eastAsia="楷体"/>
              </w:rPr>
            </w:pPr>
            <w:r>
              <w:rPr>
                <w:rFonts w:hint="eastAsia" w:ascii="楷体" w:hAnsi="楷体" w:eastAsia="楷体"/>
              </w:rPr>
              <w:t>4.1</w:t>
            </w:r>
          </w:p>
          <w:p>
            <w:pPr>
              <w:rPr>
                <w:rFonts w:ascii="楷体" w:hAnsi="楷体" w:eastAsia="楷体"/>
              </w:rPr>
            </w:pPr>
            <w:r>
              <w:rPr>
                <w:rFonts w:hint="eastAsia" w:ascii="楷体" w:hAnsi="楷体" w:eastAsia="楷体"/>
              </w:rPr>
              <w:t>4.2</w:t>
            </w:r>
          </w:p>
          <w:p>
            <w:pPr>
              <w:rPr>
                <w:rFonts w:ascii="楷体" w:hAnsi="楷体" w:eastAsia="楷体"/>
              </w:rPr>
            </w:pPr>
            <w:r>
              <w:rPr>
                <w:rFonts w:hint="eastAsia" w:ascii="楷体" w:hAnsi="楷体" w:eastAsia="楷体"/>
              </w:rPr>
              <w:t>4.3</w:t>
            </w:r>
          </w:p>
          <w:p>
            <w:pPr>
              <w:rPr>
                <w:rFonts w:ascii="楷体" w:hAnsi="楷体" w:eastAsia="楷体"/>
              </w:rPr>
            </w:pPr>
            <w:r>
              <w:rPr>
                <w:rFonts w:hint="eastAsia" w:ascii="楷体" w:hAnsi="楷体" w:eastAsia="楷体"/>
              </w:rPr>
              <w:t>4.4</w:t>
            </w:r>
          </w:p>
          <w:p>
            <w:pPr>
              <w:rPr>
                <w:rFonts w:ascii="楷体" w:hAnsi="楷体" w:eastAsia="楷体"/>
              </w:rPr>
            </w:pPr>
            <w:r>
              <w:rPr>
                <w:rFonts w:hint="eastAsia" w:ascii="楷体" w:hAnsi="楷体" w:eastAsia="楷体"/>
              </w:rPr>
              <w:t>6.1</w:t>
            </w:r>
          </w:p>
        </w:tc>
        <w:tc>
          <w:tcPr>
            <w:tcW w:w="10004"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企业基本情况</w:t>
            </w:r>
          </w:p>
          <w:p>
            <w:pPr>
              <w:rPr>
                <w:rFonts w:ascii="楷体" w:hAnsi="楷体" w:eastAsia="楷体"/>
              </w:rPr>
            </w:pPr>
            <w:r>
              <w:rPr>
                <w:rFonts w:hint="eastAsia" w:ascii="楷体" w:hAnsi="楷体" w:eastAsia="楷体"/>
              </w:rPr>
              <w:t>1、总经理/管代：宋海波/刘志敏</w:t>
            </w:r>
          </w:p>
          <w:p>
            <w:pPr>
              <w:rPr>
                <w:rFonts w:ascii="楷体" w:hAnsi="楷体" w:eastAsia="楷体"/>
                <w:color w:val="000000"/>
                <w:u w:val="single"/>
              </w:rPr>
            </w:pPr>
            <w:r>
              <w:rPr>
                <w:rFonts w:hint="eastAsia" w:ascii="楷体" w:hAnsi="楷体" w:eastAsia="楷体"/>
              </w:rPr>
              <w:t>2、按照认证范围公司提供的法律证明文件有：营业执照，统一社会信用代码：</w:t>
            </w:r>
            <w:r>
              <w:rPr>
                <w:rFonts w:ascii="楷体" w:hAnsi="楷体" w:eastAsia="楷体"/>
              </w:rPr>
              <w:t>91430600MA4Q791M7U</w:t>
            </w:r>
            <w:r>
              <w:rPr>
                <w:rFonts w:hint="eastAsia" w:ascii="楷体" w:hAnsi="楷体" w:eastAsia="楷体"/>
              </w:rPr>
              <w:t>。</w:t>
            </w:r>
          </w:p>
          <w:p>
            <w:pPr>
              <w:rPr>
                <w:rFonts w:ascii="楷体" w:hAnsi="楷体" w:eastAsia="楷体"/>
                <w:color w:val="000000"/>
              </w:rPr>
            </w:pPr>
            <w:bookmarkStart w:id="0" w:name="组织名称"/>
            <w:r>
              <w:rPr>
                <w:rFonts w:hint="eastAsia" w:ascii="楷体" w:hAnsi="楷体" w:eastAsia="楷体"/>
                <w:color w:val="000000"/>
              </w:rPr>
              <w:t>3、</w:t>
            </w:r>
            <w:bookmarkEnd w:id="0"/>
            <w:r>
              <w:rPr>
                <w:rFonts w:hint="eastAsia" w:ascii="楷体" w:hAnsi="楷体" w:eastAsia="楷体"/>
                <w:color w:val="000000"/>
              </w:rPr>
              <w:t>公司概况</w:t>
            </w:r>
          </w:p>
          <w:p>
            <w:pPr>
              <w:rPr>
                <w:rFonts w:ascii="楷体" w:hAnsi="楷体" w:eastAsia="楷体"/>
              </w:rPr>
            </w:pPr>
            <w:r>
              <w:rPr>
                <w:rFonts w:hint="eastAsia" w:ascii="楷体" w:hAnsi="楷体" w:eastAsia="楷体"/>
              </w:rPr>
              <w:t>1）</w:t>
            </w:r>
            <w:r>
              <w:rPr>
                <w:rFonts w:ascii="楷体" w:hAnsi="楷体" w:eastAsia="楷体"/>
              </w:rPr>
              <w:t>湖南新塘电气设备有限公司</w:t>
            </w:r>
            <w:r>
              <w:rPr>
                <w:rFonts w:hint="eastAsia" w:ascii="楷体" w:hAnsi="楷体" w:eastAsia="楷体"/>
                <w:color w:val="000000"/>
              </w:rPr>
              <w:t>成立于20</w:t>
            </w:r>
            <w:r>
              <w:rPr>
                <w:rFonts w:ascii="楷体" w:hAnsi="楷体" w:eastAsia="楷体"/>
                <w:color w:val="000000"/>
              </w:rPr>
              <w:t>18</w:t>
            </w:r>
            <w:r>
              <w:rPr>
                <w:rFonts w:hint="eastAsia" w:ascii="楷体" w:hAnsi="楷体" w:eastAsia="楷体"/>
                <w:color w:val="000000"/>
              </w:rPr>
              <w:t>年,</w:t>
            </w:r>
            <w:bookmarkStart w:id="1" w:name="注册地址"/>
            <w:r>
              <w:rPr>
                <w:rFonts w:hint="eastAsia" w:ascii="楷体" w:hAnsi="楷体" w:eastAsia="楷体"/>
                <w:color w:val="000000"/>
              </w:rPr>
              <w:t>注册资本</w:t>
            </w:r>
            <w:r>
              <w:rPr>
                <w:rFonts w:ascii="楷体" w:hAnsi="楷体" w:eastAsia="楷体"/>
                <w:color w:val="000000"/>
              </w:rPr>
              <w:t>5500万元，</w:t>
            </w:r>
            <w:r>
              <w:rPr>
                <w:rFonts w:hint="eastAsia" w:ascii="楷体" w:hAnsi="楷体" w:eastAsia="楷体"/>
                <w:color w:val="000000"/>
              </w:rPr>
              <w:t>位于公司位于</w:t>
            </w:r>
            <w:bookmarkEnd w:id="1"/>
            <w:bookmarkStart w:id="2" w:name="生产地址"/>
            <w:r>
              <w:rPr>
                <w:rFonts w:ascii="楷体" w:hAnsi="楷体" w:eastAsia="楷体"/>
              </w:rPr>
              <w:t>岳阳经济技术开发区西塘镇三桥村铁塘组</w:t>
            </w:r>
            <w:bookmarkEnd w:id="2"/>
          </w:p>
          <w:p>
            <w:pPr>
              <w:rPr>
                <w:rFonts w:ascii="楷体" w:hAnsi="楷体" w:eastAsia="楷体"/>
                <w:color w:val="000000"/>
              </w:rPr>
            </w:pPr>
            <w:r>
              <w:rPr>
                <w:rFonts w:ascii="楷体" w:hAnsi="楷体" w:eastAsia="楷体"/>
                <w:color w:val="000000"/>
              </w:rPr>
              <w:t>2</w:t>
            </w:r>
            <w:r>
              <w:rPr>
                <w:rFonts w:hint="eastAsia" w:ascii="楷体" w:hAnsi="楷体" w:eastAsia="楷体"/>
                <w:color w:val="000000"/>
              </w:rPr>
              <w:t>）总占地面积</w:t>
            </w:r>
            <w:r>
              <w:rPr>
                <w:rFonts w:hint="eastAsia" w:ascii="楷体" w:hAnsi="楷体" w:eastAsia="楷体"/>
                <w:color w:val="000000"/>
                <w:lang w:val="en-US" w:eastAsia="zh-CN"/>
              </w:rPr>
              <w:t>500</w:t>
            </w:r>
            <w:r>
              <w:rPr>
                <w:rFonts w:hint="eastAsia" w:ascii="楷体" w:hAnsi="楷体" w:eastAsia="楷体"/>
                <w:color w:val="000000"/>
              </w:rPr>
              <w:t>m</w:t>
            </w:r>
            <w:r>
              <w:rPr>
                <w:rFonts w:ascii="Calibri" w:hAnsi="Calibri" w:eastAsia="楷体" w:cs="Calibri"/>
                <w:color w:val="000000"/>
              </w:rPr>
              <w:t>²</w:t>
            </w:r>
            <w:r>
              <w:rPr>
                <w:rFonts w:hint="eastAsia" w:ascii="楷体" w:hAnsi="楷体" w:eastAsia="楷体" w:cs="楷体"/>
                <w:color w:val="000000"/>
              </w:rPr>
              <w:t>，</w:t>
            </w:r>
            <w:r>
              <w:rPr>
                <w:rFonts w:hint="eastAsia" w:ascii="楷体" w:hAnsi="楷体" w:eastAsia="楷体" w:cs="楷体"/>
                <w:color w:val="000000"/>
                <w:lang w:val="en-US" w:eastAsia="zh-CN"/>
              </w:rPr>
              <w:t>车间300平米</w:t>
            </w:r>
            <w:r>
              <w:rPr>
                <w:rFonts w:hint="eastAsia" w:ascii="楷体" w:hAnsi="楷体" w:eastAsia="楷体"/>
                <w:color w:val="000000"/>
              </w:rPr>
              <w:t>，</w:t>
            </w:r>
          </w:p>
          <w:p>
            <w:pPr>
              <w:rPr>
                <w:rFonts w:ascii="楷体" w:hAnsi="楷体" w:eastAsia="楷体"/>
              </w:rPr>
            </w:pPr>
            <w:r>
              <w:rPr>
                <w:rFonts w:ascii="楷体" w:hAnsi="楷体" w:eastAsia="楷体"/>
                <w:color w:val="000000"/>
              </w:rPr>
              <w:t>3</w:t>
            </w:r>
            <w:r>
              <w:rPr>
                <w:rFonts w:hint="eastAsia" w:ascii="楷体" w:hAnsi="楷体" w:eastAsia="楷体"/>
                <w:color w:val="000000"/>
              </w:rPr>
              <w:t>）主要经营范围为</w:t>
            </w:r>
            <w:r>
              <w:rPr>
                <w:rFonts w:ascii="楷体" w:hAnsi="楷体" w:eastAsia="楷体"/>
              </w:rPr>
              <w:t>安全工器具（接地线（棒）、操作杆、绝缘梯、绝缘护罩、个人保安线、标识牌、立式围栏、移动式遮栏、防鸟设备、绝缘胶垫）的加工，拉线保护套，安全工具柜、电杆防撞桶，脚扣、电杆防撞贴，铁附件、电力金具、劳动防护用品的销售</w:t>
            </w:r>
          </w:p>
          <w:p>
            <w:pPr>
              <w:rPr>
                <w:rFonts w:ascii="楷体" w:hAnsi="楷体" w:eastAsia="楷体"/>
              </w:rPr>
            </w:pPr>
            <w:r>
              <w:rPr>
                <w:rFonts w:hint="eastAsia" w:ascii="楷体" w:hAnsi="楷体" w:eastAsia="楷体"/>
              </w:rPr>
              <w:t>4、公司设有管理层、综合办公室、生产部</w:t>
            </w:r>
          </w:p>
          <w:p>
            <w:pPr>
              <w:rPr>
                <w:rFonts w:ascii="楷体" w:hAnsi="楷体" w:eastAsia="楷体"/>
              </w:rPr>
            </w:pPr>
            <w:r>
              <w:rPr>
                <w:rFonts w:ascii="楷体" w:hAnsi="楷体" w:eastAsia="楷体"/>
              </w:rPr>
              <w:sym w:font="Wingdings 2" w:char="F098"/>
            </w:r>
            <w:r>
              <w:rPr>
                <w:rFonts w:hint="eastAsia" w:ascii="楷体" w:hAnsi="楷体" w:eastAsia="楷体"/>
              </w:rPr>
              <w:t>体系策划情况</w:t>
            </w:r>
          </w:p>
          <w:p>
            <w:pPr>
              <w:rPr>
                <w:rFonts w:ascii="楷体" w:hAnsi="楷体" w:eastAsia="楷体"/>
              </w:rPr>
            </w:pPr>
            <w:r>
              <w:rPr>
                <w:rFonts w:ascii="楷体" w:hAnsi="楷体" w:eastAsia="楷体"/>
              </w:rPr>
              <w:t>1</w:t>
            </w:r>
            <w:r>
              <w:rPr>
                <w:rFonts w:hint="eastAsia" w:ascii="楷体" w:hAnsi="楷体" w:eastAsia="楷体"/>
              </w:rPr>
              <w:t>、根据企业发展及经营管理的需求，公司组织了对管理体系标准的学习，依据标准的要求结合实际情况对管理体系进行了策划，策划基本体现了PDCA的思路。</w:t>
            </w:r>
          </w:p>
          <w:p>
            <w:pPr>
              <w:rPr>
                <w:rFonts w:ascii="楷体" w:hAnsi="楷体" w:eastAsia="楷体"/>
              </w:rPr>
            </w:pPr>
            <w:r>
              <w:rPr>
                <w:rFonts w:ascii="楷体" w:hAnsi="楷体" w:eastAsia="楷体"/>
              </w:rPr>
              <w:t>2</w:t>
            </w:r>
            <w:r>
              <w:rPr>
                <w:rFonts w:hint="eastAsia" w:ascii="楷体" w:hAnsi="楷体" w:eastAsia="楷体"/>
              </w:rPr>
              <w:t>、建立了文件化的管理体系，文件基本符合标准的要求，基本符合企业的实际情况。</w:t>
            </w:r>
          </w:p>
          <w:p>
            <w:pPr>
              <w:rPr>
                <w:rFonts w:ascii="楷体" w:hAnsi="楷体" w:eastAsia="楷体"/>
              </w:rPr>
            </w:pPr>
            <w:r>
              <w:rPr>
                <w:rFonts w:ascii="楷体" w:hAnsi="楷体" w:eastAsia="楷体"/>
              </w:rPr>
              <w:t>3</w:t>
            </w:r>
            <w:r>
              <w:rPr>
                <w:rFonts w:hint="eastAsia" w:ascii="楷体" w:hAnsi="楷体" w:eastAsia="楷体"/>
              </w:rPr>
              <w:t>、根据过程对组织结构进行了合理的设计，明确了各岗位人员的职责和接口，配备了相应的人员、设施、技术、信息等资源，基础设施、工作环境基本能满足生产和管理的需求。</w:t>
            </w:r>
          </w:p>
          <w:p>
            <w:pPr>
              <w:rPr>
                <w:rFonts w:ascii="楷体" w:hAnsi="楷体" w:eastAsia="楷体"/>
              </w:rPr>
            </w:pPr>
            <w:r>
              <w:rPr>
                <w:rFonts w:ascii="楷体" w:hAnsi="楷体" w:eastAsia="楷体"/>
              </w:rPr>
              <w:t>4</w:t>
            </w:r>
            <w:r>
              <w:rPr>
                <w:rFonts w:hint="eastAsia" w:ascii="楷体" w:hAnsi="楷体" w:eastAsia="楷体"/>
              </w:rPr>
              <w:t>、</w:t>
            </w:r>
            <w:r>
              <w:rPr>
                <w:rFonts w:hint="eastAsia" w:ascii="楷体" w:hAnsi="楷体" w:eastAsia="楷体"/>
                <w:lang w:val="en-GB"/>
              </w:rPr>
              <w:t>通过制定管理制度、作业文件及相关措施，对活动的主要环节实施了有效的控制，</w:t>
            </w:r>
            <w:r>
              <w:rPr>
                <w:rFonts w:hint="eastAsia" w:ascii="楷体" w:hAnsi="楷体" w:eastAsia="楷体"/>
              </w:rPr>
              <w:t>各种制度及规定基本建立。</w:t>
            </w:r>
          </w:p>
          <w:p>
            <w:pPr>
              <w:rPr>
                <w:rFonts w:ascii="楷体" w:hAnsi="楷体" w:eastAsia="楷体"/>
              </w:rPr>
            </w:pPr>
            <w:r>
              <w:rPr>
                <w:rFonts w:ascii="楷体" w:hAnsi="楷体" w:eastAsia="楷体"/>
              </w:rPr>
              <w:t>5</w:t>
            </w:r>
            <w:r>
              <w:rPr>
                <w:rFonts w:hint="eastAsia" w:ascii="楷体" w:hAnsi="楷体" w:eastAsia="楷体"/>
              </w:rPr>
              <w:t>、管理手册中对组织机构和职责进行了策划，形成了文件。</w:t>
            </w:r>
          </w:p>
          <w:p>
            <w:pPr>
              <w:rPr>
                <w:rFonts w:ascii="楷体" w:hAnsi="楷体" w:eastAsia="楷体"/>
              </w:rPr>
            </w:pPr>
            <w:r>
              <w:rPr>
                <w:rFonts w:ascii="楷体" w:hAnsi="楷体" w:eastAsia="楷体"/>
              </w:rPr>
              <w:t>6</w:t>
            </w:r>
            <w:r>
              <w:rPr>
                <w:rFonts w:hint="eastAsia" w:ascii="楷体" w:hAnsi="楷体" w:eastAsia="楷体"/>
              </w:rPr>
              <w:t>、组织机构的设置，职责、权限的分配基本明确，基本适宜，人力资源基本满足需求。</w:t>
            </w:r>
          </w:p>
          <w:p>
            <w:pPr>
              <w:rPr>
                <w:rFonts w:ascii="楷体" w:hAnsi="楷体" w:eastAsia="楷体"/>
              </w:rPr>
            </w:pPr>
            <w:r>
              <w:rPr>
                <w:rFonts w:ascii="楷体" w:hAnsi="楷体" w:eastAsia="楷体"/>
              </w:rPr>
              <w:t>7</w:t>
            </w:r>
            <w:r>
              <w:rPr>
                <w:rFonts w:hint="eastAsia" w:ascii="楷体" w:hAnsi="楷体" w:eastAsia="楷体"/>
              </w:rPr>
              <w:t>、策划管理体系时，公司确定了与其宗旨和战略方向相关并影响其实现质量管理体系预期结果的能力的各种外部和内部因素。</w:t>
            </w:r>
          </w:p>
          <w:p>
            <w:pPr>
              <w:rPr>
                <w:rFonts w:ascii="楷体" w:hAnsi="楷体" w:eastAsia="楷体"/>
                <w:lang w:val="en-GB"/>
              </w:rPr>
            </w:pPr>
            <w:r>
              <w:rPr>
                <w:rFonts w:ascii="楷体" w:hAnsi="楷体" w:eastAsia="楷体"/>
              </w:rPr>
              <w:t>8</w:t>
            </w:r>
            <w:r>
              <w:rPr>
                <w:rFonts w:hint="eastAsia" w:ascii="楷体" w:hAnsi="楷体" w:eastAsia="楷体"/>
              </w:rPr>
              <w:t>、确定了与质量管理体系有关的相关方及相关要求。并根据所确定的各种因素及相关方和其要求，确定了公司应对的风险和机遇，并对应对措施进行了策划。</w:t>
            </w:r>
          </w:p>
          <w:p>
            <w:pPr>
              <w:rPr>
                <w:rFonts w:ascii="楷体" w:hAnsi="楷体" w:eastAsia="楷体"/>
              </w:rPr>
            </w:pPr>
            <w:r>
              <w:rPr>
                <w:rFonts w:ascii="楷体" w:hAnsi="楷体" w:eastAsia="楷体"/>
              </w:rPr>
              <w:sym w:font="Wingdings 2" w:char="F098"/>
            </w:r>
            <w:r>
              <w:rPr>
                <w:rFonts w:hint="eastAsia" w:ascii="楷体" w:hAnsi="楷体" w:eastAsia="楷体"/>
              </w:rPr>
              <w:t>审核组与受审核方管代通过电话沟通，确认的审核范围：</w:t>
            </w:r>
          </w:p>
          <w:p>
            <w:pPr>
              <w:rPr>
                <w:rFonts w:ascii="楷体" w:hAnsi="楷体" w:eastAsia="楷体"/>
                <w:color w:val="000000"/>
              </w:rPr>
            </w:pPr>
            <w:r>
              <w:rPr>
                <w:rFonts w:hint="eastAsia" w:ascii="楷体" w:hAnsi="楷体" w:eastAsia="楷体"/>
              </w:rPr>
              <w:t>QMS：</w:t>
            </w:r>
            <w:r>
              <w:rPr>
                <w:rFonts w:ascii="楷体" w:hAnsi="楷体" w:eastAsia="楷体"/>
              </w:rPr>
              <w:t>安全工器具（接地线（棒）、操作杆、绝缘梯、绝缘护罩、个人保安线、标识牌、立式围栏、移动式遮栏、防鸟设备、绝缘胶垫）的加工，拉线保护套，安全工具柜、电杆防撞桶，脚扣、电杆防撞贴，铁附件、电力金具、劳动防护用品的销售</w:t>
            </w:r>
            <w:r>
              <w:rPr>
                <w:rFonts w:hint="eastAsia" w:ascii="楷体" w:hAnsi="楷体" w:eastAsia="楷体"/>
              </w:rPr>
              <w:t>，包含在营业执照的经营范围里面。</w:t>
            </w:r>
          </w:p>
          <w:p>
            <w:pPr>
              <w:rPr>
                <w:rFonts w:ascii="楷体" w:hAnsi="楷体" w:eastAsia="楷体"/>
                <w:color w:val="000000"/>
                <w:spacing w:val="20"/>
              </w:rPr>
            </w:pPr>
            <w:r>
              <w:rPr>
                <w:rFonts w:ascii="楷体" w:hAnsi="楷体" w:eastAsia="楷体"/>
              </w:rPr>
              <w:sym w:font="Wingdings 2" w:char="F098"/>
            </w:r>
            <w:r>
              <w:rPr>
                <w:rFonts w:hint="eastAsia" w:ascii="楷体" w:hAnsi="楷体" w:eastAsia="楷体"/>
              </w:rPr>
              <w:t>不适用条款：GB/T19001-2016标准的8.3条款。</w:t>
            </w:r>
            <w:r>
              <w:rPr>
                <w:rFonts w:hint="eastAsia" w:ascii="楷体" w:hAnsi="楷体" w:eastAsia="楷体"/>
                <w:color w:val="000000"/>
                <w:spacing w:val="20"/>
              </w:rPr>
              <w:t>公司依据顾客提供的技术要求和图纸,按顾客的技术要求、图纸及相关标准进行生产,不涉及产品的设计与开发，因此标准8.3条款“产品和服务的设计和开发”要求不适用。公司确保</w:t>
            </w:r>
            <w:r>
              <w:rPr>
                <w:rFonts w:hint="eastAsia" w:ascii="楷体" w:hAnsi="楷体" w:eastAsia="楷体"/>
                <w:color w:val="000000"/>
              </w:rPr>
              <w:t>不适用的质量管理体系的</w:t>
            </w:r>
            <w:r>
              <w:rPr>
                <w:rFonts w:hint="eastAsia" w:ascii="楷体" w:hAnsi="楷体" w:eastAsia="楷体"/>
                <w:color w:val="000000"/>
                <w:spacing w:val="20"/>
              </w:rPr>
              <w:t>产品和服务的设计和开发</w:t>
            </w:r>
            <w:r>
              <w:rPr>
                <w:rFonts w:hint="eastAsia" w:ascii="楷体" w:hAnsi="楷体" w:eastAsia="楷体"/>
                <w:color w:val="000000"/>
              </w:rPr>
              <w:t>要求，不影响组织确保产品和服务合格以及增强顾客满意的能力或责任</w:t>
            </w:r>
            <w:r>
              <w:rPr>
                <w:rFonts w:hint="eastAsia" w:ascii="楷体" w:hAnsi="楷体" w:eastAsia="楷体"/>
                <w:color w:val="000000"/>
                <w:spacing w:val="20"/>
              </w:rPr>
              <w:t>。</w:t>
            </w:r>
          </w:p>
          <w:p>
            <w:pPr>
              <w:rPr>
                <w:rFonts w:ascii="楷体" w:hAnsi="楷体" w:eastAsia="楷体"/>
              </w:rPr>
            </w:pPr>
            <w:r>
              <w:rPr>
                <w:rFonts w:ascii="楷体" w:hAnsi="楷体" w:eastAsia="楷体"/>
              </w:rPr>
              <w:sym w:font="Wingdings 2" w:char="F098"/>
            </w:r>
            <w:r>
              <w:rPr>
                <w:rFonts w:hint="eastAsia" w:ascii="楷体" w:hAnsi="楷体" w:eastAsia="楷体"/>
              </w:rPr>
              <w:t>外包过程：部分试验。</w:t>
            </w:r>
          </w:p>
          <w:p>
            <w:pPr>
              <w:rPr>
                <w:rFonts w:ascii="楷体" w:hAnsi="楷体" w:eastAsia="楷体"/>
              </w:rPr>
            </w:pPr>
            <w:r>
              <w:rPr>
                <w:rFonts w:ascii="楷体" w:hAnsi="楷体" w:eastAsia="楷体"/>
              </w:rPr>
              <w:sym w:font="Wingdings 2" w:char="F098"/>
            </w:r>
            <w:r>
              <w:rPr>
                <w:rFonts w:hint="eastAsia" w:ascii="楷体" w:hAnsi="楷体" w:eastAsia="楷体"/>
              </w:rPr>
              <w:t>管理体系覆盖人数</w:t>
            </w:r>
            <w:r>
              <w:rPr>
                <w:rFonts w:ascii="楷体" w:hAnsi="楷体" w:eastAsia="楷体"/>
              </w:rPr>
              <w:t>21</w:t>
            </w:r>
            <w:r>
              <w:rPr>
                <w:rFonts w:hint="eastAsia" w:ascii="楷体" w:hAnsi="楷体" w:eastAsia="楷体"/>
              </w:rPr>
              <w:t>人，其中管理人员</w:t>
            </w:r>
            <w:r>
              <w:rPr>
                <w:rFonts w:ascii="楷体" w:hAnsi="楷体" w:eastAsia="楷体"/>
              </w:rPr>
              <w:t>4</w:t>
            </w:r>
            <w:r>
              <w:rPr>
                <w:rFonts w:hint="eastAsia" w:ascii="楷体" w:hAnsi="楷体" w:eastAsia="楷体"/>
              </w:rPr>
              <w:t>人，白班生产，无倒班情况</w:t>
            </w:r>
          </w:p>
        </w:tc>
        <w:tc>
          <w:tcPr>
            <w:tcW w:w="1585"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rPr>
                <w:rFonts w:ascii="楷体" w:hAnsi="楷体" w:eastAsia="楷体"/>
              </w:rPr>
            </w:pPr>
            <w:r>
              <w:rPr>
                <w:rFonts w:hint="eastAsia" w:ascii="楷体" w:hAnsi="楷体" w:eastAsia="楷体"/>
              </w:rPr>
              <w:t>管理方针和目标的适宜性</w:t>
            </w:r>
          </w:p>
          <w:p>
            <w:pPr>
              <w:rPr>
                <w:rFonts w:ascii="楷体" w:hAnsi="楷体" w:eastAsia="楷体"/>
              </w:rPr>
            </w:pPr>
          </w:p>
        </w:tc>
        <w:tc>
          <w:tcPr>
            <w:tcW w:w="960" w:type="dxa"/>
          </w:tcPr>
          <w:p>
            <w:pPr>
              <w:rPr>
                <w:rFonts w:ascii="楷体" w:hAnsi="楷体" w:eastAsia="楷体"/>
              </w:rPr>
            </w:pPr>
            <w:r>
              <w:rPr>
                <w:rFonts w:hint="eastAsia" w:ascii="楷体" w:hAnsi="楷体" w:eastAsia="楷体"/>
              </w:rPr>
              <w:t>5.2     6.2</w:t>
            </w:r>
          </w:p>
        </w:tc>
        <w:tc>
          <w:tcPr>
            <w:tcW w:w="10004"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制定了管理方针，其中质量方针：</w:t>
            </w:r>
          </w:p>
          <w:p>
            <w:pPr>
              <w:rPr>
                <w:rFonts w:ascii="楷体" w:hAnsi="楷体" w:eastAsia="楷体"/>
              </w:rPr>
            </w:pPr>
            <w:r>
              <w:rPr>
                <w:rFonts w:ascii="楷体" w:hAnsi="楷体" w:eastAsia="楷体"/>
              </w:rPr>
              <w:t>以质量求生存、以效益求发展</w:t>
            </w:r>
          </w:p>
          <w:p>
            <w:pPr>
              <w:rPr>
                <w:rFonts w:ascii="楷体" w:hAnsi="楷体" w:eastAsia="楷体"/>
              </w:rPr>
            </w:pPr>
            <w:r>
              <w:rPr>
                <w:rFonts w:hint="eastAsia" w:ascii="楷体" w:hAnsi="楷体" w:eastAsia="楷体"/>
              </w:rPr>
              <w:t>总经理证实，与企业的宗旨一直，随管理手册的发布宣传贯彻。</w:t>
            </w:r>
          </w:p>
          <w:p>
            <w:pPr>
              <w:rPr>
                <w:rFonts w:ascii="楷体" w:hAnsi="楷体" w:eastAsia="楷体"/>
              </w:rPr>
            </w:pPr>
            <w:r>
              <w:rPr>
                <w:rFonts w:hint="eastAsia" w:ascii="楷体" w:hAnsi="楷体" w:eastAsia="楷体"/>
              </w:rPr>
              <w:sym w:font="Wingdings 2" w:char="F098"/>
            </w:r>
            <w:r>
              <w:rPr>
                <w:rFonts w:hint="eastAsia" w:ascii="楷体" w:hAnsi="楷体" w:eastAsia="楷体"/>
              </w:rPr>
              <w:t xml:space="preserve">制定了管理目标，其中质量目标： </w:t>
            </w:r>
          </w:p>
          <w:p>
            <w:pPr>
              <w:rPr>
                <w:rFonts w:ascii="楷体" w:hAnsi="楷体" w:eastAsia="楷体"/>
              </w:rPr>
            </w:pPr>
            <w:r>
              <w:rPr>
                <w:rFonts w:ascii="楷体" w:hAnsi="楷体" w:eastAsia="楷体"/>
              </w:rPr>
              <w:t>1、产品生产检验合格率不低于</w:t>
            </w:r>
            <w:r>
              <w:rPr>
                <w:rFonts w:hint="eastAsia" w:ascii="楷体" w:hAnsi="楷体" w:eastAsia="楷体"/>
              </w:rPr>
              <w:t>99</w:t>
            </w:r>
            <w:r>
              <w:rPr>
                <w:rFonts w:ascii="楷体" w:hAnsi="楷体" w:eastAsia="楷体"/>
              </w:rPr>
              <w:t>%</w:t>
            </w:r>
          </w:p>
          <w:p>
            <w:pPr>
              <w:rPr>
                <w:rFonts w:ascii="楷体" w:hAnsi="楷体" w:eastAsia="楷体"/>
              </w:rPr>
            </w:pPr>
            <w:r>
              <w:rPr>
                <w:rFonts w:ascii="楷体" w:hAnsi="楷体" w:eastAsia="楷体"/>
              </w:rPr>
              <w:t>2、产品销售服务交货及时率</w:t>
            </w:r>
            <w:r>
              <w:rPr>
                <w:rFonts w:hint="eastAsia" w:ascii="楷体" w:hAnsi="楷体" w:eastAsia="楷体"/>
              </w:rPr>
              <w:t>100</w:t>
            </w:r>
            <w:r>
              <w:rPr>
                <w:rFonts w:ascii="楷体" w:hAnsi="楷体" w:eastAsia="楷体"/>
              </w:rPr>
              <w:t>%</w:t>
            </w:r>
          </w:p>
          <w:p>
            <w:pPr>
              <w:rPr>
                <w:rFonts w:ascii="楷体" w:hAnsi="楷体" w:eastAsia="楷体"/>
              </w:rPr>
            </w:pPr>
            <w:r>
              <w:rPr>
                <w:rFonts w:ascii="楷体" w:hAnsi="楷体" w:eastAsia="楷体"/>
              </w:rPr>
              <w:t>3、顾客满意度</w:t>
            </w:r>
            <w:r>
              <w:rPr>
                <w:rFonts w:hint="eastAsia" w:ascii="楷体" w:hAnsi="楷体" w:eastAsia="楷体"/>
              </w:rPr>
              <w:t>100</w:t>
            </w:r>
            <w:r>
              <w:rPr>
                <w:rFonts w:ascii="楷体" w:hAnsi="楷体" w:eastAsia="楷体"/>
              </w:rPr>
              <w:t>%，并逐年提高；</w:t>
            </w:r>
          </w:p>
          <w:p>
            <w:pPr>
              <w:rPr>
                <w:rFonts w:ascii="楷体" w:hAnsi="楷体" w:eastAsia="楷体"/>
              </w:rPr>
            </w:pPr>
            <w:r>
              <w:rPr>
                <w:rFonts w:ascii="楷体" w:hAnsi="楷体" w:eastAsia="楷体"/>
              </w:rPr>
              <w:t>4、处理顾客反馈信息率和售后服务100%。</w:t>
            </w:r>
          </w:p>
          <w:p>
            <w:pPr>
              <w:rPr>
                <w:rFonts w:ascii="楷体" w:hAnsi="楷体" w:eastAsia="楷体"/>
              </w:rPr>
            </w:pPr>
            <w:r>
              <w:rPr>
                <w:rFonts w:hint="eastAsia" w:ascii="楷体" w:hAnsi="楷体" w:eastAsia="楷体"/>
              </w:rPr>
              <w:t>基本符合标准要求。在方针框架下展开，并分解到各职能部门。</w:t>
            </w:r>
          </w:p>
        </w:tc>
        <w:tc>
          <w:tcPr>
            <w:tcW w:w="1585"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2160" w:type="dxa"/>
          </w:tcPr>
          <w:p>
            <w:pPr>
              <w:rPr>
                <w:rFonts w:ascii="楷体" w:hAnsi="楷体" w:eastAsia="楷体"/>
              </w:rPr>
            </w:pPr>
            <w:r>
              <w:rPr>
                <w:rFonts w:hint="eastAsia" w:ascii="楷体" w:hAnsi="楷体" w:eastAsia="楷体"/>
              </w:rPr>
              <w:t>内审、管理评审策划和实施的符合性及可信性</w:t>
            </w:r>
          </w:p>
        </w:tc>
        <w:tc>
          <w:tcPr>
            <w:tcW w:w="960" w:type="dxa"/>
          </w:tcPr>
          <w:p>
            <w:pPr>
              <w:rPr>
                <w:rFonts w:ascii="楷体" w:hAnsi="楷体" w:eastAsia="楷体"/>
              </w:rPr>
            </w:pPr>
            <w:r>
              <w:rPr>
                <w:rFonts w:hint="eastAsia" w:ascii="楷体" w:hAnsi="楷体" w:eastAsia="楷体"/>
              </w:rPr>
              <w:t>9.2</w:t>
            </w:r>
          </w:p>
          <w:p>
            <w:pPr>
              <w:rPr>
                <w:rFonts w:ascii="楷体" w:hAnsi="楷体" w:eastAsia="楷体"/>
              </w:rPr>
            </w:pPr>
            <w:r>
              <w:rPr>
                <w:rFonts w:hint="eastAsia" w:ascii="楷体" w:hAnsi="楷体" w:eastAsia="楷体"/>
              </w:rPr>
              <w:t>9.3</w:t>
            </w:r>
          </w:p>
        </w:tc>
        <w:tc>
          <w:tcPr>
            <w:tcW w:w="10004" w:type="dxa"/>
          </w:tcPr>
          <w:p>
            <w:pPr>
              <w:rPr>
                <w:rFonts w:ascii="楷体" w:hAnsi="楷体" w:eastAsia="楷体"/>
              </w:rPr>
            </w:pPr>
            <w:r>
              <w:rPr>
                <w:rFonts w:hint="eastAsia" w:ascii="楷体" w:hAnsi="楷体" w:eastAsia="楷体"/>
              </w:rPr>
              <w:t>2020年</w:t>
            </w:r>
            <w:r>
              <w:rPr>
                <w:rFonts w:ascii="楷体" w:hAnsi="楷体" w:eastAsia="楷体"/>
              </w:rPr>
              <w:t>12</w:t>
            </w:r>
            <w:r>
              <w:rPr>
                <w:rFonts w:hint="eastAsia" w:ascii="楷体" w:hAnsi="楷体" w:eastAsia="楷体"/>
              </w:rPr>
              <w:t>月</w:t>
            </w:r>
            <w:r>
              <w:rPr>
                <w:rFonts w:hint="eastAsia" w:ascii="楷体" w:hAnsi="楷体" w:eastAsia="楷体"/>
                <w:lang w:val="en-US" w:eastAsia="zh-CN"/>
              </w:rPr>
              <w:t>1-2</w:t>
            </w:r>
            <w:bookmarkStart w:id="3" w:name="_GoBack"/>
            <w:bookmarkEnd w:id="3"/>
            <w:r>
              <w:rPr>
                <w:rFonts w:hint="eastAsia" w:ascii="楷体" w:hAnsi="楷体" w:eastAsia="楷体"/>
              </w:rPr>
              <w:t>日进行内部审核，提供内部审核计划、内审检查表、不合格报告、内部质量管理体系审核报告等，基本符合要求。</w:t>
            </w:r>
          </w:p>
          <w:p>
            <w:pPr>
              <w:rPr>
                <w:rFonts w:ascii="楷体" w:hAnsi="楷体" w:eastAsia="楷体"/>
              </w:rPr>
            </w:pPr>
            <w:r>
              <w:rPr>
                <w:rFonts w:hint="eastAsia" w:ascii="楷体" w:hAnsi="楷体" w:eastAsia="楷体"/>
              </w:rPr>
              <w:t>2020年</w:t>
            </w:r>
            <w:r>
              <w:rPr>
                <w:rFonts w:ascii="楷体" w:hAnsi="楷体" w:eastAsia="楷体"/>
              </w:rPr>
              <w:t>12</w:t>
            </w:r>
            <w:r>
              <w:rPr>
                <w:rFonts w:hint="eastAsia" w:ascii="楷体" w:hAnsi="楷体" w:eastAsia="楷体"/>
              </w:rPr>
              <w:t>月2</w:t>
            </w:r>
            <w:r>
              <w:rPr>
                <w:rFonts w:ascii="楷体" w:hAnsi="楷体" w:eastAsia="楷体"/>
              </w:rPr>
              <w:t>4</w:t>
            </w:r>
            <w:r>
              <w:rPr>
                <w:rFonts w:hint="eastAsia" w:ascii="楷体" w:hAnsi="楷体" w:eastAsia="楷体"/>
              </w:rPr>
              <w:t>日进行管理评审，由总经理主持会议，有管理评审计划、管理评审输入资料</w:t>
            </w:r>
            <w:r>
              <w:rPr>
                <w:rFonts w:ascii="楷体" w:hAnsi="楷体" w:eastAsia="楷体"/>
              </w:rPr>
              <w:t>—</w:t>
            </w:r>
            <w:r>
              <w:rPr>
                <w:rFonts w:hint="eastAsia" w:ascii="楷体" w:hAnsi="楷体" w:eastAsia="楷体"/>
              </w:rPr>
              <w:t>各部门工作总结、管理评审报告等，内容基本可信，有效。</w:t>
            </w:r>
          </w:p>
        </w:tc>
        <w:tc>
          <w:tcPr>
            <w:tcW w:w="1585" w:type="dxa"/>
          </w:tcPr>
          <w:p>
            <w:pPr>
              <w:rPr>
                <w:rFonts w:ascii="楷体" w:hAnsi="楷体" w:eastAsia="楷体"/>
              </w:rPr>
            </w:pPr>
          </w:p>
        </w:tc>
      </w:tr>
    </w:tbl>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1622" w:type="dxa"/>
            <w:vMerge w:val="restart"/>
            <w:vAlign w:val="center"/>
          </w:tcPr>
          <w:p>
            <w:pPr>
              <w:rPr>
                <w:rFonts w:ascii="楷体" w:hAnsi="楷体" w:eastAsia="楷体"/>
                <w:szCs w:val="21"/>
              </w:rPr>
            </w:pPr>
            <w:r>
              <w:rPr>
                <w:rFonts w:hint="eastAsia" w:ascii="楷体" w:hAnsi="楷体" w:eastAsia="楷体"/>
                <w:szCs w:val="21"/>
              </w:rPr>
              <w:t>过程与活动、</w:t>
            </w:r>
          </w:p>
          <w:p>
            <w:pPr>
              <w:rPr>
                <w:rFonts w:ascii="楷体" w:hAnsi="楷体" w:eastAsia="楷体"/>
                <w:szCs w:val="21"/>
              </w:rPr>
            </w:pPr>
            <w:r>
              <w:rPr>
                <w:rFonts w:hint="eastAsia" w:ascii="楷体" w:hAnsi="楷体" w:eastAsia="楷体"/>
                <w:szCs w:val="21"/>
              </w:rPr>
              <w:t>抽样计划</w:t>
            </w:r>
          </w:p>
        </w:tc>
        <w:tc>
          <w:tcPr>
            <w:tcW w:w="869"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1490" w:type="dxa"/>
            <w:vAlign w:val="center"/>
          </w:tcPr>
          <w:p>
            <w:pPr>
              <w:rPr>
                <w:rFonts w:ascii="楷体" w:hAnsi="楷体" w:eastAsia="楷体"/>
                <w:szCs w:val="21"/>
              </w:rPr>
            </w:pPr>
            <w:r>
              <w:rPr>
                <w:rFonts w:hint="eastAsia" w:ascii="楷体" w:hAnsi="楷体" w:eastAsia="楷体"/>
                <w:szCs w:val="21"/>
              </w:rPr>
              <w:t xml:space="preserve">受审核部门：办公室           主管领导：刘志敏  </w:t>
            </w:r>
            <w:r>
              <w:rPr>
                <w:rFonts w:ascii="楷体" w:hAnsi="楷体" w:eastAsia="楷体"/>
                <w:szCs w:val="21"/>
              </w:rPr>
              <w:t xml:space="preserve">    </w:t>
            </w:r>
            <w:r>
              <w:rPr>
                <w:rFonts w:hint="eastAsia" w:ascii="楷体" w:hAnsi="楷体" w:eastAsia="楷体"/>
                <w:szCs w:val="21"/>
              </w:rPr>
              <w:t>陪同人员：刘惠姝</w:t>
            </w:r>
          </w:p>
        </w:tc>
        <w:tc>
          <w:tcPr>
            <w:tcW w:w="709"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ascii="楷体" w:hAnsi="楷体" w:eastAsia="楷体"/>
                <w:szCs w:val="21"/>
              </w:rPr>
            </w:pPr>
          </w:p>
        </w:tc>
        <w:tc>
          <w:tcPr>
            <w:tcW w:w="869" w:type="dxa"/>
            <w:vMerge w:val="continue"/>
            <w:vAlign w:val="center"/>
          </w:tcPr>
          <w:p>
            <w:pPr>
              <w:rPr>
                <w:rFonts w:ascii="楷体" w:hAnsi="楷体" w:eastAsia="楷体"/>
                <w:szCs w:val="21"/>
              </w:rPr>
            </w:pPr>
          </w:p>
        </w:tc>
        <w:tc>
          <w:tcPr>
            <w:tcW w:w="11490" w:type="dxa"/>
            <w:vAlign w:val="center"/>
          </w:tcPr>
          <w:p>
            <w:pPr>
              <w:rPr>
                <w:rFonts w:ascii="楷体" w:hAnsi="楷体" w:eastAsia="楷体"/>
                <w:szCs w:val="21"/>
              </w:rPr>
            </w:pPr>
            <w:r>
              <w:rPr>
                <w:rFonts w:hint="eastAsia" w:ascii="楷体" w:hAnsi="楷体" w:eastAsia="楷体"/>
                <w:szCs w:val="21"/>
              </w:rPr>
              <w:t>审核员：</w:t>
            </w:r>
            <w:r>
              <w:rPr>
                <w:rFonts w:hint="eastAsia" w:ascii="楷体" w:hAnsi="楷体" w:eastAsia="楷体" w:cs="宋体"/>
                <w:szCs w:val="21"/>
              </w:rPr>
              <w:t xml:space="preserve">周文廷 </w:t>
            </w:r>
            <w:r>
              <w:rPr>
                <w:rFonts w:ascii="楷体" w:hAnsi="楷体" w:eastAsia="楷体" w:cs="宋体"/>
                <w:szCs w:val="21"/>
              </w:rPr>
              <w:t xml:space="preserve"> </w:t>
            </w:r>
            <w:r>
              <w:rPr>
                <w:rFonts w:hint="eastAsia" w:ascii="楷体" w:hAnsi="楷体" w:eastAsia="楷体" w:cs="宋体"/>
                <w:szCs w:val="21"/>
              </w:rPr>
              <w:t xml:space="preserve">                  </w:t>
            </w:r>
            <w:r>
              <w:rPr>
                <w:rFonts w:ascii="楷体" w:hAnsi="楷体" w:eastAsia="楷体" w:cs="宋体"/>
                <w:szCs w:val="21"/>
              </w:rPr>
              <w:t xml:space="preserve">    </w:t>
            </w:r>
            <w:r>
              <w:rPr>
                <w:rFonts w:hint="eastAsia" w:ascii="楷体" w:hAnsi="楷体" w:eastAsia="楷体"/>
                <w:szCs w:val="21"/>
              </w:rPr>
              <w:t>审核时间：202</w:t>
            </w:r>
            <w:r>
              <w:rPr>
                <w:rFonts w:ascii="楷体" w:hAnsi="楷体" w:eastAsia="楷体"/>
                <w:szCs w:val="21"/>
              </w:rPr>
              <w:t>1.2.20</w:t>
            </w:r>
          </w:p>
        </w:tc>
        <w:tc>
          <w:tcPr>
            <w:tcW w:w="709"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ascii="楷体" w:hAnsi="楷体" w:eastAsia="楷体"/>
                <w:szCs w:val="21"/>
              </w:rPr>
            </w:pPr>
          </w:p>
        </w:tc>
        <w:tc>
          <w:tcPr>
            <w:tcW w:w="869" w:type="dxa"/>
            <w:vMerge w:val="continue"/>
            <w:vAlign w:val="center"/>
          </w:tcPr>
          <w:p>
            <w:pPr>
              <w:rPr>
                <w:rFonts w:ascii="楷体" w:hAnsi="楷体" w:eastAsia="楷体"/>
                <w:szCs w:val="21"/>
              </w:rPr>
            </w:pPr>
          </w:p>
        </w:tc>
        <w:tc>
          <w:tcPr>
            <w:tcW w:w="11490" w:type="dxa"/>
            <w:vAlign w:val="center"/>
          </w:tcPr>
          <w:p>
            <w:pPr>
              <w:rPr>
                <w:rFonts w:ascii="楷体" w:hAnsi="楷体" w:eastAsia="楷体"/>
                <w:szCs w:val="21"/>
              </w:rPr>
            </w:pPr>
            <w:r>
              <w:rPr>
                <w:rFonts w:hint="eastAsia" w:ascii="楷体" w:hAnsi="楷体" w:eastAsia="楷体"/>
                <w:szCs w:val="21"/>
              </w:rPr>
              <w:t>审核条款：</w:t>
            </w:r>
            <w:r>
              <w:rPr>
                <w:rFonts w:hint="eastAsia" w:ascii="楷体" w:hAnsi="楷体" w:eastAsia="楷体"/>
                <w:b/>
                <w:szCs w:val="21"/>
              </w:rPr>
              <w:t>7.1.2/7.1.6/7.5</w:t>
            </w:r>
          </w:p>
        </w:tc>
        <w:tc>
          <w:tcPr>
            <w:tcW w:w="709"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ascii="楷体" w:hAnsi="楷体" w:eastAsia="楷体"/>
                <w:szCs w:val="21"/>
              </w:rPr>
            </w:pPr>
            <w:r>
              <w:rPr>
                <w:rFonts w:hint="eastAsia" w:ascii="楷体" w:hAnsi="楷体" w:eastAsia="楷体"/>
                <w:szCs w:val="21"/>
              </w:rPr>
              <w:t>人员、组织的知识、体系文件的建立</w:t>
            </w:r>
          </w:p>
        </w:tc>
        <w:tc>
          <w:tcPr>
            <w:tcW w:w="869" w:type="dxa"/>
          </w:tcPr>
          <w:p>
            <w:pPr>
              <w:rPr>
                <w:rFonts w:ascii="楷体" w:hAnsi="楷体" w:eastAsia="楷体"/>
                <w:szCs w:val="21"/>
              </w:rPr>
            </w:pPr>
            <w:r>
              <w:rPr>
                <w:rFonts w:hint="eastAsia" w:ascii="楷体" w:hAnsi="楷体" w:eastAsia="楷体"/>
                <w:b/>
                <w:szCs w:val="21"/>
              </w:rPr>
              <w:t>7.1.2/7.1.6/7.5</w:t>
            </w:r>
          </w:p>
        </w:tc>
        <w:tc>
          <w:tcPr>
            <w:tcW w:w="11490" w:type="dxa"/>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目前企业拥有职工</w:t>
            </w:r>
            <w:r>
              <w:rPr>
                <w:rFonts w:ascii="楷体" w:hAnsi="楷体" w:eastAsia="楷体"/>
                <w:szCs w:val="21"/>
              </w:rPr>
              <w:t>21</w:t>
            </w:r>
            <w:r>
              <w:rPr>
                <w:rFonts w:hint="eastAsia" w:ascii="楷体" w:hAnsi="楷体" w:eastAsia="楷体"/>
                <w:szCs w:val="21"/>
              </w:rPr>
              <w:t>人，包括管理人员、生产人员、业务人员等。</w:t>
            </w:r>
          </w:p>
          <w:p>
            <w:pPr>
              <w:rPr>
                <w:rFonts w:ascii="楷体" w:hAnsi="楷体" w:eastAsia="楷体"/>
                <w:szCs w:val="21"/>
              </w:rPr>
            </w:pPr>
            <w:r>
              <w:rPr>
                <w:rFonts w:ascii="楷体" w:hAnsi="楷体" w:eastAsia="楷体"/>
                <w:szCs w:val="21"/>
              </w:rPr>
              <w:sym w:font="Wingdings 2" w:char="F098"/>
            </w:r>
            <w:r>
              <w:rPr>
                <w:rFonts w:hint="eastAsia" w:ascii="楷体" w:hAnsi="楷体" w:eastAsia="楷体"/>
                <w:szCs w:val="21"/>
              </w:rPr>
              <w:t>受审核方建立的管理体系文件包括：</w:t>
            </w:r>
          </w:p>
          <w:p>
            <w:pPr>
              <w:rPr>
                <w:rFonts w:ascii="楷体" w:hAnsi="楷体" w:eastAsia="楷体"/>
                <w:szCs w:val="21"/>
              </w:rPr>
            </w:pPr>
            <w:r>
              <w:rPr>
                <w:rFonts w:hint="eastAsia" w:ascii="楷体" w:hAnsi="楷体" w:eastAsia="楷体"/>
                <w:szCs w:val="21"/>
              </w:rPr>
              <w:t>1.管理手册HNXT</w:t>
            </w:r>
            <w:r>
              <w:rPr>
                <w:rFonts w:ascii="楷体" w:hAnsi="楷体" w:eastAsia="楷体"/>
                <w:szCs w:val="21"/>
              </w:rPr>
              <w:t>／SC-20</w:t>
            </w:r>
            <w:r>
              <w:rPr>
                <w:rFonts w:hint="eastAsia" w:ascii="楷体" w:hAnsi="楷体" w:eastAsia="楷体"/>
                <w:szCs w:val="21"/>
              </w:rPr>
              <w:t>20</w:t>
            </w:r>
            <w:r>
              <w:rPr>
                <w:rFonts w:ascii="楷体" w:hAnsi="楷体" w:eastAsia="楷体"/>
                <w:szCs w:val="21"/>
              </w:rPr>
              <w:t xml:space="preserve">  A/0</w:t>
            </w:r>
            <w:r>
              <w:rPr>
                <w:rFonts w:hint="eastAsia" w:ascii="楷体" w:hAnsi="楷体" w:eastAsia="楷体"/>
                <w:szCs w:val="21"/>
              </w:rPr>
              <w:t>版，2020年</w:t>
            </w:r>
            <w:r>
              <w:rPr>
                <w:rFonts w:ascii="楷体" w:hAnsi="楷体" w:eastAsia="楷体"/>
                <w:szCs w:val="21"/>
              </w:rPr>
              <w:t>8</w:t>
            </w:r>
            <w:r>
              <w:rPr>
                <w:rFonts w:hint="eastAsia" w:ascii="楷体" w:hAnsi="楷体" w:eastAsia="楷体"/>
                <w:szCs w:val="21"/>
              </w:rPr>
              <w:t>月</w:t>
            </w:r>
            <w:r>
              <w:rPr>
                <w:rFonts w:ascii="楷体" w:hAnsi="楷体" w:eastAsia="楷体"/>
                <w:szCs w:val="21"/>
              </w:rPr>
              <w:t>20</w:t>
            </w:r>
            <w:r>
              <w:rPr>
                <w:rFonts w:hint="eastAsia" w:ascii="楷体" w:hAnsi="楷体" w:eastAsia="楷体"/>
                <w:szCs w:val="21"/>
              </w:rPr>
              <w:t>日发表实施（含质量方针、目标）</w:t>
            </w:r>
          </w:p>
          <w:p>
            <w:pPr>
              <w:rPr>
                <w:rFonts w:ascii="楷体" w:hAnsi="楷体" w:eastAsia="楷体"/>
                <w:szCs w:val="21"/>
              </w:rPr>
            </w:pPr>
            <w:r>
              <w:rPr>
                <w:rFonts w:hint="eastAsia" w:ascii="楷体" w:hAnsi="楷体" w:eastAsia="楷体"/>
                <w:szCs w:val="21"/>
              </w:rPr>
              <w:t>2.程序文件HNXT</w:t>
            </w:r>
            <w:r>
              <w:rPr>
                <w:rFonts w:ascii="楷体" w:hAnsi="楷体" w:eastAsia="楷体"/>
                <w:szCs w:val="21"/>
              </w:rPr>
              <w:t>／</w:t>
            </w:r>
            <w:r>
              <w:rPr>
                <w:rFonts w:hint="eastAsia" w:ascii="楷体" w:hAnsi="楷体" w:eastAsia="楷体"/>
                <w:szCs w:val="21"/>
              </w:rPr>
              <w:t>CX</w:t>
            </w:r>
            <w:r>
              <w:rPr>
                <w:rFonts w:ascii="楷体" w:hAnsi="楷体" w:eastAsia="楷体"/>
                <w:szCs w:val="21"/>
              </w:rPr>
              <w:t>-20</w:t>
            </w:r>
            <w:r>
              <w:rPr>
                <w:rFonts w:hint="eastAsia" w:ascii="楷体" w:hAnsi="楷体" w:eastAsia="楷体"/>
                <w:szCs w:val="21"/>
              </w:rPr>
              <w:t>20 A</w:t>
            </w:r>
            <w:r>
              <w:rPr>
                <w:rFonts w:ascii="楷体" w:hAnsi="楷体" w:eastAsia="楷体"/>
                <w:szCs w:val="21"/>
              </w:rPr>
              <w:t>/</w:t>
            </w:r>
            <w:r>
              <w:rPr>
                <w:rFonts w:hint="eastAsia" w:ascii="楷体" w:hAnsi="楷体" w:eastAsia="楷体"/>
                <w:szCs w:val="21"/>
              </w:rPr>
              <w:t>0版，含17个文件，包括标准要求的程序</w:t>
            </w:r>
          </w:p>
          <w:p>
            <w:pPr>
              <w:rPr>
                <w:rFonts w:ascii="楷体" w:hAnsi="楷体" w:eastAsia="楷体"/>
                <w:szCs w:val="21"/>
              </w:rPr>
            </w:pPr>
            <w:r>
              <w:rPr>
                <w:rFonts w:hint="eastAsia" w:ascii="楷体" w:hAnsi="楷体" w:eastAsia="楷体"/>
                <w:szCs w:val="21"/>
              </w:rPr>
              <w:t>3.支持性文件汇编，包括：岗位任职要求、顾客满意度调查制度(019)、生产设备维护保养制度、销售服务规范等。</w:t>
            </w:r>
          </w:p>
          <w:p>
            <w:pPr>
              <w:rPr>
                <w:rFonts w:ascii="楷体" w:hAnsi="楷体" w:eastAsia="楷体"/>
                <w:szCs w:val="21"/>
              </w:rPr>
            </w:pPr>
            <w:r>
              <w:rPr>
                <w:rFonts w:hint="eastAsia" w:ascii="楷体" w:hAnsi="楷体" w:eastAsia="楷体"/>
                <w:szCs w:val="21"/>
              </w:rPr>
              <w:t>4.体系运行所需要的记录</w:t>
            </w:r>
          </w:p>
          <w:p>
            <w:pPr>
              <w:rPr>
                <w:rFonts w:ascii="楷体" w:hAnsi="楷体" w:eastAsia="楷体"/>
                <w:szCs w:val="21"/>
              </w:rPr>
            </w:pPr>
            <w:r>
              <w:rPr>
                <w:rFonts w:ascii="楷体" w:hAnsi="楷体" w:eastAsia="楷体"/>
                <w:szCs w:val="21"/>
              </w:rPr>
              <w:sym w:font="Wingdings 2" w:char="F098"/>
            </w:r>
            <w:r>
              <w:rPr>
                <w:rFonts w:hint="eastAsia" w:ascii="楷体" w:hAnsi="楷体" w:eastAsia="楷体"/>
                <w:szCs w:val="21"/>
              </w:rPr>
              <w:t>编制了文件控制程序，用于对管理体系文件的管理</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对外来文件进行了识别收集，提供有《外来文件一览表》包括</w:t>
            </w:r>
            <w:r>
              <w:rPr>
                <w:rFonts w:ascii="楷体" w:hAnsi="楷体" w:eastAsia="楷体"/>
                <w:szCs w:val="21"/>
              </w:rPr>
              <w:t>质量法、</w:t>
            </w:r>
            <w:r>
              <w:rPr>
                <w:rFonts w:hint="eastAsia" w:ascii="楷体" w:hAnsi="楷体" w:eastAsia="楷体"/>
                <w:szCs w:val="21"/>
              </w:rPr>
              <w:t>标准化法、</w:t>
            </w:r>
            <w:r>
              <w:rPr>
                <w:rFonts w:ascii="楷体" w:hAnsi="楷体" w:eastAsia="楷体"/>
                <w:szCs w:val="21"/>
              </w:rPr>
              <w:t>合同法、劳动法、消防法</w:t>
            </w:r>
            <w:r>
              <w:rPr>
                <w:rFonts w:hint="eastAsia" w:ascii="楷体" w:hAnsi="楷体" w:eastAsia="楷体"/>
                <w:szCs w:val="21"/>
              </w:rPr>
              <w:t>、体系标准（GB/T1</w:t>
            </w:r>
            <w:r>
              <w:rPr>
                <w:rFonts w:ascii="楷体" w:hAnsi="楷体" w:eastAsia="楷体"/>
                <w:szCs w:val="21"/>
              </w:rPr>
              <w:t>9001</w:t>
            </w:r>
            <w:r>
              <w:rPr>
                <w:rFonts w:hint="eastAsia" w:ascii="楷体" w:hAnsi="楷体" w:eastAsia="楷体"/>
                <w:szCs w:val="21"/>
              </w:rPr>
              <w:t>-</w:t>
            </w:r>
            <w:r>
              <w:rPr>
                <w:rFonts w:ascii="楷体" w:hAnsi="楷体" w:eastAsia="楷体"/>
                <w:szCs w:val="21"/>
              </w:rPr>
              <w:t>201</w:t>
            </w:r>
            <w:r>
              <w:rPr>
                <w:rFonts w:hint="eastAsia" w:ascii="楷体" w:hAnsi="楷体" w:eastAsia="楷体"/>
                <w:szCs w:val="21"/>
              </w:rPr>
              <w:t>6、GB/T</w:t>
            </w:r>
            <w:r>
              <w:rPr>
                <w:rFonts w:ascii="楷体" w:hAnsi="楷体" w:eastAsia="楷体"/>
                <w:szCs w:val="21"/>
              </w:rPr>
              <w:t xml:space="preserve"> </w:t>
            </w:r>
            <w:r>
              <w:rPr>
                <w:rFonts w:hint="eastAsia" w:ascii="楷体" w:hAnsi="楷体" w:eastAsia="楷体"/>
                <w:szCs w:val="21"/>
              </w:rPr>
              <w:t>2</w:t>
            </w:r>
            <w:r>
              <w:rPr>
                <w:rFonts w:ascii="楷体" w:hAnsi="楷体" w:eastAsia="楷体"/>
                <w:szCs w:val="21"/>
              </w:rPr>
              <w:t>4001</w:t>
            </w:r>
            <w:r>
              <w:rPr>
                <w:rFonts w:hint="eastAsia" w:ascii="楷体" w:hAnsi="楷体" w:eastAsia="楷体"/>
                <w:szCs w:val="21"/>
              </w:rPr>
              <w:t>-</w:t>
            </w:r>
            <w:r>
              <w:rPr>
                <w:rFonts w:ascii="楷体" w:hAnsi="楷体" w:eastAsia="楷体"/>
                <w:szCs w:val="21"/>
              </w:rPr>
              <w:t>201</w:t>
            </w:r>
            <w:r>
              <w:rPr>
                <w:rFonts w:hint="eastAsia" w:ascii="楷体" w:hAnsi="楷体" w:eastAsia="楷体"/>
                <w:szCs w:val="21"/>
              </w:rPr>
              <w:t>6、</w:t>
            </w:r>
            <w:r>
              <w:rPr>
                <w:rFonts w:ascii="楷体" w:hAnsi="楷体" w:eastAsia="楷体"/>
                <w:szCs w:val="21"/>
              </w:rPr>
              <w:t>GB/T</w:t>
            </w:r>
            <w:r>
              <w:rPr>
                <w:rFonts w:hint="eastAsia" w:ascii="楷体" w:hAnsi="楷体" w:eastAsia="楷体"/>
                <w:szCs w:val="21"/>
              </w:rPr>
              <w:t>45</w:t>
            </w:r>
            <w:r>
              <w:rPr>
                <w:rFonts w:ascii="楷体" w:hAnsi="楷体" w:eastAsia="楷体"/>
                <w:szCs w:val="21"/>
              </w:rPr>
              <w:t>001-20</w:t>
            </w:r>
            <w:r>
              <w:rPr>
                <w:rFonts w:hint="eastAsia" w:ascii="楷体" w:hAnsi="楷体" w:eastAsia="楷体"/>
                <w:szCs w:val="21"/>
              </w:rPr>
              <w:t>20）及产品的相关国家标准、行业标准：</w:t>
            </w:r>
          </w:p>
          <w:p>
            <w:pPr>
              <w:rPr>
                <w:rFonts w:ascii="楷体" w:hAnsi="楷体" w:eastAsia="楷体"/>
                <w:szCs w:val="21"/>
              </w:rPr>
            </w:pPr>
            <w:r>
              <w:rPr>
                <w:rFonts w:ascii="楷体" w:hAnsi="楷体" w:eastAsia="楷体"/>
                <w:szCs w:val="21"/>
              </w:rPr>
              <w:t>1</w:t>
            </w:r>
            <w:r>
              <w:rPr>
                <w:rFonts w:hint="eastAsia" w:ascii="楷体" w:hAnsi="楷体" w:eastAsia="楷体"/>
                <w:szCs w:val="21"/>
              </w:rPr>
              <w:t>、Q/GDW434-2010</w:t>
            </w:r>
            <w:r>
              <w:rPr>
                <w:rFonts w:ascii="楷体" w:hAnsi="楷体" w:eastAsia="楷体"/>
                <w:szCs w:val="21"/>
              </w:rPr>
              <w:t xml:space="preserve">    </w:t>
            </w:r>
            <w:r>
              <w:rPr>
                <w:rFonts w:hint="eastAsia" w:ascii="楷体" w:hAnsi="楷体" w:eastAsia="楷体"/>
                <w:szCs w:val="21"/>
              </w:rPr>
              <w:t>《国家电网公司安全设施标准》</w:t>
            </w:r>
            <w:r>
              <w:rPr>
                <w:rFonts w:hint="eastAsia" w:ascii="楷体" w:hAnsi="楷体" w:eastAsia="楷体"/>
                <w:szCs w:val="21"/>
              </w:rPr>
              <w:tab/>
            </w:r>
          </w:p>
          <w:p>
            <w:pPr>
              <w:rPr>
                <w:rFonts w:ascii="楷体" w:hAnsi="楷体" w:eastAsia="楷体"/>
                <w:szCs w:val="21"/>
              </w:rPr>
            </w:pPr>
            <w:r>
              <w:rPr>
                <w:rFonts w:ascii="楷体" w:hAnsi="楷体" w:eastAsia="楷体"/>
                <w:szCs w:val="21"/>
              </w:rPr>
              <w:t>2</w:t>
            </w:r>
            <w:r>
              <w:rPr>
                <w:rFonts w:hint="eastAsia" w:ascii="楷体" w:hAnsi="楷体" w:eastAsia="楷体"/>
                <w:szCs w:val="21"/>
              </w:rPr>
              <w:t>、Q/GDW434.2-2010</w:t>
            </w:r>
            <w:r>
              <w:rPr>
                <w:rFonts w:ascii="楷体" w:hAnsi="楷体" w:eastAsia="楷体"/>
                <w:szCs w:val="21"/>
              </w:rPr>
              <w:t xml:space="preserve">  </w:t>
            </w:r>
            <w:r>
              <w:rPr>
                <w:rFonts w:hint="eastAsia" w:ascii="楷体" w:hAnsi="楷体" w:eastAsia="楷体"/>
                <w:szCs w:val="21"/>
              </w:rPr>
              <w:t>《国家电网公司安全设施标准 第二部分：电力线路》</w:t>
            </w:r>
            <w:r>
              <w:rPr>
                <w:rFonts w:hint="eastAsia" w:ascii="楷体" w:hAnsi="楷体" w:eastAsia="楷体"/>
                <w:szCs w:val="21"/>
              </w:rPr>
              <w:tab/>
            </w:r>
          </w:p>
          <w:p>
            <w:pPr>
              <w:rPr>
                <w:rFonts w:ascii="楷体" w:hAnsi="楷体" w:eastAsia="楷体"/>
                <w:szCs w:val="21"/>
              </w:rPr>
            </w:pPr>
            <w:r>
              <w:rPr>
                <w:rFonts w:ascii="楷体" w:hAnsi="楷体" w:eastAsia="楷体"/>
                <w:szCs w:val="21"/>
              </w:rPr>
              <w:t>3</w:t>
            </w:r>
            <w:r>
              <w:rPr>
                <w:rFonts w:hint="eastAsia" w:ascii="楷体" w:hAnsi="楷体" w:eastAsia="楷体"/>
                <w:szCs w:val="21"/>
              </w:rPr>
              <w:t>、DL408-1991</w:t>
            </w:r>
            <w:r>
              <w:rPr>
                <w:rFonts w:ascii="楷体" w:hAnsi="楷体" w:eastAsia="楷体"/>
                <w:szCs w:val="21"/>
              </w:rPr>
              <w:t xml:space="preserve">       </w:t>
            </w:r>
            <w:r>
              <w:rPr>
                <w:rFonts w:hint="eastAsia" w:ascii="楷体" w:hAnsi="楷体" w:eastAsia="楷体"/>
                <w:szCs w:val="21"/>
              </w:rPr>
              <w:t>《电业安全工作规程》</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4、YD/T3436.4-2019</w:t>
            </w:r>
            <w:r>
              <w:rPr>
                <w:rFonts w:ascii="楷体" w:hAnsi="楷体" w:eastAsia="楷体"/>
                <w:szCs w:val="21"/>
              </w:rPr>
              <w:t xml:space="preserve">  </w:t>
            </w:r>
            <w:r>
              <w:rPr>
                <w:rFonts w:hint="eastAsia" w:ascii="楷体" w:hAnsi="楷体" w:eastAsia="楷体"/>
                <w:szCs w:val="21"/>
              </w:rPr>
              <w:t>《架空通信线路配件 第4部分：抱箍类、光缆预留支架》</w:t>
            </w:r>
            <w:r>
              <w:rPr>
                <w:rFonts w:hint="eastAsia" w:ascii="楷体" w:hAnsi="楷体" w:eastAsia="楷体"/>
                <w:szCs w:val="21"/>
              </w:rPr>
              <w:tab/>
            </w:r>
            <w:r>
              <w:rPr>
                <w:rFonts w:ascii="楷体" w:hAnsi="楷体" w:eastAsia="楷体"/>
                <w:szCs w:val="21"/>
              </w:rPr>
              <w:t xml:space="preserve"> </w:t>
            </w:r>
          </w:p>
          <w:p>
            <w:pPr>
              <w:rPr>
                <w:rFonts w:ascii="楷体" w:hAnsi="楷体" w:eastAsia="楷体"/>
                <w:szCs w:val="21"/>
              </w:rPr>
            </w:pPr>
            <w:r>
              <w:rPr>
                <w:rFonts w:ascii="楷体" w:hAnsi="楷体" w:eastAsia="楷体"/>
                <w:szCs w:val="21"/>
              </w:rPr>
              <w:t>5</w:t>
            </w:r>
            <w:r>
              <w:rPr>
                <w:rFonts w:hint="eastAsia" w:ascii="楷体" w:hAnsi="楷体" w:eastAsia="楷体"/>
                <w:szCs w:val="21"/>
              </w:rPr>
              <w:t>、GB/T2694-2018</w:t>
            </w:r>
            <w:r>
              <w:rPr>
                <w:rFonts w:ascii="楷体" w:hAnsi="楷体" w:eastAsia="楷体"/>
                <w:szCs w:val="21"/>
              </w:rPr>
              <w:t xml:space="preserve">    </w:t>
            </w:r>
            <w:r>
              <w:rPr>
                <w:rFonts w:hint="eastAsia" w:ascii="楷体" w:hAnsi="楷体" w:eastAsia="楷体"/>
                <w:szCs w:val="21"/>
              </w:rPr>
              <w:t>《输电线路铁塔制造技术条件</w:t>
            </w:r>
            <w:r>
              <w:rPr>
                <w:rFonts w:hint="eastAsia" w:ascii="楷体" w:hAnsi="楷体" w:eastAsia="楷体"/>
                <w:szCs w:val="21"/>
              </w:rPr>
              <w:tab/>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6、Q/GDW434-2010</w:t>
            </w:r>
            <w:r>
              <w:rPr>
                <w:rFonts w:ascii="楷体" w:hAnsi="楷体" w:eastAsia="楷体"/>
                <w:szCs w:val="21"/>
              </w:rPr>
              <w:t xml:space="preserve">     </w:t>
            </w:r>
            <w:r>
              <w:rPr>
                <w:rFonts w:hint="eastAsia" w:ascii="楷体" w:hAnsi="楷体" w:eastAsia="楷体"/>
                <w:szCs w:val="21"/>
              </w:rPr>
              <w:t>《国家电网公司安全设施标准</w:t>
            </w:r>
            <w:r>
              <w:rPr>
                <w:rFonts w:hint="eastAsia" w:ascii="楷体" w:hAnsi="楷体" w:eastAsia="楷体"/>
                <w:szCs w:val="21"/>
              </w:rPr>
              <w:tab/>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7、Q/GDW434.2-2010</w:t>
            </w:r>
            <w:r>
              <w:rPr>
                <w:rFonts w:ascii="楷体" w:hAnsi="楷体" w:eastAsia="楷体"/>
                <w:szCs w:val="21"/>
              </w:rPr>
              <w:t xml:space="preserve">   </w:t>
            </w:r>
            <w:r>
              <w:rPr>
                <w:rFonts w:hint="eastAsia" w:ascii="楷体" w:hAnsi="楷体" w:eastAsia="楷体"/>
                <w:szCs w:val="21"/>
              </w:rPr>
              <w:t>《国家电网公司安全设施标准 第二部分：电力线路》</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 xml:space="preserve">8、GBT 2900.19-1994 </w:t>
            </w:r>
            <w:r>
              <w:rPr>
                <w:rFonts w:ascii="楷体" w:hAnsi="楷体" w:eastAsia="楷体"/>
                <w:szCs w:val="21"/>
              </w:rPr>
              <w:t xml:space="preserve"> </w:t>
            </w:r>
            <w:r>
              <w:rPr>
                <w:rFonts w:hint="eastAsia" w:ascii="楷体" w:hAnsi="楷体" w:eastAsia="楷体"/>
                <w:szCs w:val="21"/>
              </w:rPr>
              <w:t>《电工术语 高电压试验技术和绝缘配合》</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 xml:space="preserve">9、DL/T976-2017 </w:t>
            </w:r>
            <w:r>
              <w:rPr>
                <w:rFonts w:ascii="楷体" w:hAnsi="楷体" w:eastAsia="楷体"/>
                <w:szCs w:val="21"/>
              </w:rPr>
              <w:t xml:space="preserve">    </w:t>
            </w:r>
            <w:r>
              <w:rPr>
                <w:rFonts w:hint="eastAsia" w:ascii="楷体" w:hAnsi="楷体" w:eastAsia="楷体"/>
                <w:szCs w:val="21"/>
              </w:rPr>
              <w:t>《带电作业工具、装置和设备预防性试验规程》</w:t>
            </w:r>
            <w:r>
              <w:rPr>
                <w:rFonts w:hint="eastAsia" w:ascii="楷体" w:hAnsi="楷体" w:eastAsia="楷体"/>
                <w:szCs w:val="21"/>
              </w:rPr>
              <w:tab/>
            </w:r>
          </w:p>
          <w:p>
            <w:pPr>
              <w:rPr>
                <w:rFonts w:ascii="楷体" w:hAnsi="楷体" w:eastAsia="楷体"/>
                <w:szCs w:val="21"/>
              </w:rPr>
            </w:pPr>
            <w:r>
              <w:rPr>
                <w:rFonts w:ascii="楷体" w:hAnsi="楷体" w:eastAsia="楷体"/>
                <w:szCs w:val="21"/>
              </w:rPr>
              <w:t>10</w:t>
            </w:r>
            <w:r>
              <w:rPr>
                <w:rFonts w:hint="eastAsia" w:ascii="楷体" w:hAnsi="楷体" w:eastAsia="楷体"/>
                <w:szCs w:val="21"/>
              </w:rPr>
              <w:t>、国家电力公司《电力生产企业安全设施规范手册》</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1</w:t>
            </w:r>
            <w:r>
              <w:rPr>
                <w:rFonts w:ascii="楷体" w:hAnsi="楷体" w:eastAsia="楷体"/>
                <w:szCs w:val="21"/>
              </w:rPr>
              <w:t>1</w:t>
            </w:r>
            <w:r>
              <w:rPr>
                <w:rFonts w:hint="eastAsia" w:ascii="楷体" w:hAnsi="楷体" w:eastAsia="楷体"/>
                <w:szCs w:val="21"/>
              </w:rPr>
              <w:t>、GB2894-2008</w:t>
            </w:r>
            <w:r>
              <w:rPr>
                <w:rFonts w:ascii="楷体" w:hAnsi="楷体" w:eastAsia="楷体"/>
                <w:szCs w:val="21"/>
              </w:rPr>
              <w:t xml:space="preserve">     </w:t>
            </w:r>
            <w:r>
              <w:rPr>
                <w:rFonts w:hint="eastAsia" w:ascii="楷体" w:hAnsi="楷体" w:eastAsia="楷体"/>
                <w:szCs w:val="21"/>
              </w:rPr>
              <w:t>《安全标志及其使用导则》</w:t>
            </w:r>
          </w:p>
          <w:p>
            <w:pPr>
              <w:rPr>
                <w:rFonts w:ascii="楷体" w:hAnsi="楷体" w:eastAsia="楷体"/>
                <w:szCs w:val="21"/>
              </w:rPr>
            </w:pPr>
            <w:r>
              <w:rPr>
                <w:rFonts w:hint="eastAsia" w:ascii="楷体" w:hAnsi="楷体" w:eastAsia="楷体"/>
                <w:szCs w:val="21"/>
              </w:rPr>
              <w:t>1</w:t>
            </w:r>
            <w:r>
              <w:rPr>
                <w:rFonts w:ascii="楷体" w:hAnsi="楷体" w:eastAsia="楷体"/>
                <w:szCs w:val="21"/>
              </w:rPr>
              <w:t>2</w:t>
            </w:r>
            <w:r>
              <w:rPr>
                <w:rFonts w:hint="eastAsia" w:ascii="楷体" w:hAnsi="楷体" w:eastAsia="楷体"/>
                <w:szCs w:val="21"/>
              </w:rPr>
              <w:t xml:space="preserve">、DL/T740-2014 </w:t>
            </w:r>
            <w:r>
              <w:rPr>
                <w:rFonts w:ascii="楷体" w:hAnsi="楷体" w:eastAsia="楷体"/>
                <w:szCs w:val="21"/>
              </w:rPr>
              <w:t xml:space="preserve">   </w:t>
            </w:r>
            <w:r>
              <w:rPr>
                <w:rFonts w:hint="eastAsia" w:ascii="楷体" w:hAnsi="楷体" w:eastAsia="楷体"/>
                <w:szCs w:val="21"/>
              </w:rPr>
              <w:t>《电容型验电器，中华人民共和国电力行业标准》</w:t>
            </w:r>
          </w:p>
          <w:p>
            <w:pPr>
              <w:rPr>
                <w:rFonts w:ascii="楷体" w:hAnsi="楷体" w:eastAsia="楷体"/>
                <w:szCs w:val="21"/>
              </w:rPr>
            </w:pPr>
            <w:r>
              <w:rPr>
                <w:rFonts w:ascii="楷体" w:hAnsi="楷体" w:eastAsia="楷体"/>
                <w:szCs w:val="21"/>
              </w:rPr>
              <w:t>13</w:t>
            </w:r>
            <w:r>
              <w:rPr>
                <w:rFonts w:hint="eastAsia" w:ascii="楷体" w:hAnsi="楷体" w:eastAsia="楷体"/>
                <w:szCs w:val="21"/>
              </w:rPr>
              <w:t>、GB/T17620-2008</w:t>
            </w:r>
            <w:r>
              <w:rPr>
                <w:rFonts w:ascii="楷体" w:hAnsi="楷体" w:eastAsia="楷体"/>
                <w:szCs w:val="21"/>
              </w:rPr>
              <w:t xml:space="preserve">    </w:t>
            </w:r>
            <w:r>
              <w:rPr>
                <w:rFonts w:hint="eastAsia" w:ascii="楷体" w:hAnsi="楷体" w:eastAsia="楷体"/>
                <w:szCs w:val="21"/>
              </w:rPr>
              <w:t>《带电作业用绝缘硬梯》</w:t>
            </w:r>
            <w:r>
              <w:rPr>
                <w:rFonts w:hint="eastAsia" w:ascii="楷体" w:hAnsi="楷体" w:eastAsia="楷体"/>
                <w:szCs w:val="21"/>
              </w:rPr>
              <w:tab/>
            </w:r>
            <w:r>
              <w:rPr>
                <w:rFonts w:ascii="楷体" w:hAnsi="楷体" w:eastAsia="楷体"/>
                <w:szCs w:val="21"/>
              </w:rPr>
              <w:t xml:space="preserve"> </w:t>
            </w:r>
          </w:p>
          <w:p>
            <w:pPr>
              <w:rPr>
                <w:rFonts w:ascii="楷体" w:hAnsi="楷体" w:eastAsia="楷体"/>
                <w:szCs w:val="21"/>
              </w:rPr>
            </w:pPr>
            <w:r>
              <w:rPr>
                <w:rFonts w:hint="eastAsia" w:ascii="楷体" w:hAnsi="楷体" w:eastAsia="楷体"/>
                <w:szCs w:val="21"/>
              </w:rPr>
              <w:t>1</w:t>
            </w:r>
            <w:r>
              <w:rPr>
                <w:rFonts w:ascii="楷体" w:hAnsi="楷体" w:eastAsia="楷体"/>
                <w:szCs w:val="21"/>
              </w:rPr>
              <w:t>4</w:t>
            </w:r>
            <w:r>
              <w:rPr>
                <w:rFonts w:hint="eastAsia" w:ascii="楷体" w:hAnsi="楷体" w:eastAsia="楷体"/>
                <w:szCs w:val="21"/>
              </w:rPr>
              <w:t xml:space="preserve">、GB/T12168-2006 </w:t>
            </w:r>
            <w:r>
              <w:rPr>
                <w:rFonts w:ascii="楷体" w:hAnsi="楷体" w:eastAsia="楷体"/>
                <w:szCs w:val="21"/>
              </w:rPr>
              <w:t xml:space="preserve">   </w:t>
            </w:r>
            <w:r>
              <w:rPr>
                <w:rFonts w:hint="eastAsia" w:ascii="楷体" w:hAnsi="楷体" w:eastAsia="楷体"/>
                <w:szCs w:val="21"/>
              </w:rPr>
              <w:t>《带电作业用遮蔽罩  中华人民共和国国家标准》</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1</w:t>
            </w:r>
            <w:r>
              <w:rPr>
                <w:rFonts w:ascii="楷体" w:hAnsi="楷体" w:eastAsia="楷体"/>
                <w:szCs w:val="21"/>
              </w:rPr>
              <w:t>5</w:t>
            </w:r>
            <w:r>
              <w:rPr>
                <w:rFonts w:hint="eastAsia" w:ascii="楷体" w:hAnsi="楷体" w:eastAsia="楷体"/>
                <w:szCs w:val="21"/>
              </w:rPr>
              <w:t>、DL/T1145-2009</w:t>
            </w:r>
            <w:r>
              <w:rPr>
                <w:rFonts w:ascii="楷体" w:hAnsi="楷体" w:eastAsia="楷体"/>
                <w:szCs w:val="21"/>
              </w:rPr>
              <w:t xml:space="preserve">     </w:t>
            </w:r>
            <w:r>
              <w:rPr>
                <w:rFonts w:hint="eastAsia" w:ascii="楷体" w:hAnsi="楷体" w:eastAsia="楷体"/>
                <w:szCs w:val="21"/>
              </w:rPr>
              <w:t>《绝缘工具柜》</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1</w:t>
            </w:r>
            <w:r>
              <w:rPr>
                <w:rFonts w:ascii="楷体" w:hAnsi="楷体" w:eastAsia="楷体"/>
                <w:szCs w:val="21"/>
              </w:rPr>
              <w:t>6</w:t>
            </w:r>
            <w:r>
              <w:rPr>
                <w:rFonts w:hint="eastAsia" w:ascii="楷体" w:hAnsi="楷体" w:eastAsia="楷体"/>
                <w:szCs w:val="21"/>
              </w:rPr>
              <w:t>、DL/T879-2004</w:t>
            </w:r>
            <w:r>
              <w:rPr>
                <w:rFonts w:ascii="楷体" w:hAnsi="楷体" w:eastAsia="楷体"/>
                <w:szCs w:val="21"/>
              </w:rPr>
              <w:t xml:space="preserve">      </w:t>
            </w:r>
            <w:r>
              <w:rPr>
                <w:rFonts w:hint="eastAsia" w:ascii="楷体" w:hAnsi="楷体" w:eastAsia="楷体"/>
                <w:szCs w:val="21"/>
              </w:rPr>
              <w:t>《带电作业用便携式接地和接地短路装置》</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1</w:t>
            </w:r>
            <w:r>
              <w:rPr>
                <w:rFonts w:ascii="楷体" w:hAnsi="楷体" w:eastAsia="楷体"/>
                <w:szCs w:val="21"/>
              </w:rPr>
              <w:t>7</w:t>
            </w:r>
            <w:r>
              <w:rPr>
                <w:rFonts w:hint="eastAsia" w:ascii="楷体" w:hAnsi="楷体" w:eastAsia="楷体"/>
                <w:szCs w:val="21"/>
              </w:rPr>
              <w:t>、HG2949-1999</w:t>
            </w:r>
            <w:r>
              <w:rPr>
                <w:rFonts w:ascii="楷体" w:hAnsi="楷体" w:eastAsia="楷体"/>
                <w:szCs w:val="21"/>
              </w:rPr>
              <w:t xml:space="preserve">       </w:t>
            </w:r>
            <w:r>
              <w:rPr>
                <w:rFonts w:hint="eastAsia" w:ascii="楷体" w:hAnsi="楷体" w:eastAsia="楷体"/>
                <w:szCs w:val="21"/>
              </w:rPr>
              <w:t>《电绝缘橡胶板》化工行业标准</w:t>
            </w:r>
            <w:r>
              <w:rPr>
                <w:rFonts w:hint="eastAsia" w:ascii="楷体" w:hAnsi="楷体" w:eastAsia="楷体"/>
                <w:szCs w:val="21"/>
              </w:rPr>
              <w:tab/>
            </w:r>
          </w:p>
          <w:p>
            <w:pPr>
              <w:rPr>
                <w:rFonts w:ascii="楷体" w:hAnsi="楷体" w:eastAsia="楷体"/>
                <w:szCs w:val="21"/>
              </w:rPr>
            </w:pPr>
            <w:r>
              <w:rPr>
                <w:rFonts w:ascii="楷体" w:hAnsi="楷体" w:eastAsia="楷体"/>
                <w:szCs w:val="21"/>
              </w:rPr>
              <w:t>18</w:t>
            </w:r>
            <w:r>
              <w:rPr>
                <w:rFonts w:hint="eastAsia" w:ascii="楷体" w:hAnsi="楷体" w:eastAsia="楷体"/>
                <w:szCs w:val="21"/>
              </w:rPr>
              <w:t>、DL/T 683-2010</w:t>
            </w:r>
            <w:r>
              <w:rPr>
                <w:rFonts w:ascii="楷体" w:hAnsi="楷体" w:eastAsia="楷体"/>
                <w:szCs w:val="21"/>
              </w:rPr>
              <w:t xml:space="preserve">     </w:t>
            </w:r>
            <w:r>
              <w:rPr>
                <w:rFonts w:hint="eastAsia" w:ascii="楷体" w:hAnsi="楷体" w:eastAsia="楷体"/>
                <w:szCs w:val="21"/>
              </w:rPr>
              <w:t>《电力金具产品型号命名方法》</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1</w:t>
            </w:r>
            <w:r>
              <w:rPr>
                <w:rFonts w:ascii="楷体" w:hAnsi="楷体" w:eastAsia="楷体"/>
                <w:szCs w:val="21"/>
              </w:rPr>
              <w:t>9</w:t>
            </w:r>
            <w:r>
              <w:rPr>
                <w:rFonts w:hint="eastAsia" w:ascii="楷体" w:hAnsi="楷体" w:eastAsia="楷体"/>
                <w:szCs w:val="21"/>
              </w:rPr>
              <w:t>、DL/T 768.1-2017</w:t>
            </w:r>
            <w:r>
              <w:rPr>
                <w:rFonts w:ascii="楷体" w:hAnsi="楷体" w:eastAsia="楷体"/>
                <w:szCs w:val="21"/>
              </w:rPr>
              <w:t xml:space="preserve">   </w:t>
            </w:r>
            <w:r>
              <w:rPr>
                <w:rFonts w:hint="eastAsia" w:ascii="楷体" w:hAnsi="楷体" w:eastAsia="楷体"/>
                <w:szCs w:val="21"/>
              </w:rPr>
              <w:t>《电力金具制造质量 第1部分：可锻铸铁件》</w:t>
            </w:r>
            <w:r>
              <w:rPr>
                <w:rFonts w:hint="eastAsia" w:ascii="楷体" w:hAnsi="楷体" w:eastAsia="楷体"/>
                <w:szCs w:val="21"/>
              </w:rPr>
              <w:tab/>
            </w:r>
            <w:r>
              <w:rPr>
                <w:rFonts w:ascii="楷体" w:hAnsi="楷体" w:eastAsia="楷体"/>
                <w:szCs w:val="21"/>
              </w:rPr>
              <w:t xml:space="preserve"> </w:t>
            </w:r>
          </w:p>
          <w:p>
            <w:pPr>
              <w:rPr>
                <w:rFonts w:ascii="楷体" w:hAnsi="楷体" w:eastAsia="楷体"/>
                <w:szCs w:val="21"/>
              </w:rPr>
            </w:pPr>
            <w:r>
              <w:rPr>
                <w:rFonts w:hint="eastAsia" w:ascii="楷体" w:hAnsi="楷体" w:eastAsia="楷体"/>
                <w:szCs w:val="21"/>
              </w:rPr>
              <w:t>2</w:t>
            </w:r>
            <w:r>
              <w:rPr>
                <w:rFonts w:ascii="楷体" w:hAnsi="楷体" w:eastAsia="楷体"/>
                <w:szCs w:val="21"/>
              </w:rPr>
              <w:t>0</w:t>
            </w:r>
            <w:r>
              <w:rPr>
                <w:rFonts w:hint="eastAsia" w:ascii="楷体" w:hAnsi="楷体" w:eastAsia="楷体"/>
                <w:szCs w:val="21"/>
              </w:rPr>
              <w:t>、DL/T 768.2-2017</w:t>
            </w:r>
            <w:r>
              <w:rPr>
                <w:rFonts w:ascii="楷体" w:hAnsi="楷体" w:eastAsia="楷体"/>
                <w:szCs w:val="21"/>
              </w:rPr>
              <w:t xml:space="preserve">   </w:t>
            </w:r>
            <w:r>
              <w:rPr>
                <w:rFonts w:hint="eastAsia" w:ascii="楷体" w:hAnsi="楷体" w:eastAsia="楷体"/>
                <w:szCs w:val="21"/>
              </w:rPr>
              <w:t>《电力金具制造质量 第2部分：黑色金属锻制件》</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1</w:t>
            </w:r>
            <w:r>
              <w:rPr>
                <w:rFonts w:hint="eastAsia" w:ascii="楷体" w:hAnsi="楷体" w:eastAsia="楷体"/>
                <w:szCs w:val="21"/>
              </w:rPr>
              <w:t xml:space="preserve">、DL/T 768.3-2017 </w:t>
            </w:r>
            <w:r>
              <w:rPr>
                <w:rFonts w:ascii="楷体" w:hAnsi="楷体" w:eastAsia="楷体"/>
                <w:szCs w:val="21"/>
              </w:rPr>
              <w:t xml:space="preserve">  </w:t>
            </w:r>
            <w:r>
              <w:rPr>
                <w:rFonts w:hint="eastAsia" w:ascii="楷体" w:hAnsi="楷体" w:eastAsia="楷体"/>
                <w:szCs w:val="21"/>
              </w:rPr>
              <w:t>《电力金具制造质量 第3部分：冲压件》</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2</w:t>
            </w:r>
            <w:r>
              <w:rPr>
                <w:rFonts w:hint="eastAsia" w:ascii="楷体" w:hAnsi="楷体" w:eastAsia="楷体"/>
                <w:szCs w:val="21"/>
              </w:rPr>
              <w:t>、DL/T 768.4-2017</w:t>
            </w:r>
            <w:r>
              <w:rPr>
                <w:rFonts w:ascii="楷体" w:hAnsi="楷体" w:eastAsia="楷体"/>
                <w:szCs w:val="21"/>
              </w:rPr>
              <w:t xml:space="preserve">   </w:t>
            </w:r>
            <w:r>
              <w:rPr>
                <w:rFonts w:hint="eastAsia" w:ascii="楷体" w:hAnsi="楷体" w:eastAsia="楷体"/>
                <w:szCs w:val="21"/>
              </w:rPr>
              <w:t>《电力金具制造质量 第4部分：球墨铸铁件》</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3</w:t>
            </w:r>
            <w:r>
              <w:rPr>
                <w:rFonts w:hint="eastAsia" w:ascii="楷体" w:hAnsi="楷体" w:eastAsia="楷体"/>
                <w:szCs w:val="21"/>
              </w:rPr>
              <w:t>、DL/T 768.5-2017</w:t>
            </w:r>
            <w:r>
              <w:rPr>
                <w:rFonts w:ascii="楷体" w:hAnsi="楷体" w:eastAsia="楷体"/>
                <w:szCs w:val="21"/>
              </w:rPr>
              <w:t xml:space="preserve">   </w:t>
            </w:r>
            <w:r>
              <w:rPr>
                <w:rFonts w:hint="eastAsia" w:ascii="楷体" w:hAnsi="楷体" w:eastAsia="楷体"/>
                <w:szCs w:val="21"/>
              </w:rPr>
              <w:t>《电力金具制造质量 第5部分：铝制件》</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4</w:t>
            </w:r>
            <w:r>
              <w:rPr>
                <w:rFonts w:hint="eastAsia" w:ascii="楷体" w:hAnsi="楷体" w:eastAsia="楷体"/>
                <w:szCs w:val="21"/>
              </w:rPr>
              <w:t>、DL/T 768.6-2002</w:t>
            </w:r>
            <w:r>
              <w:rPr>
                <w:rFonts w:ascii="楷体" w:hAnsi="楷体" w:eastAsia="楷体"/>
                <w:szCs w:val="21"/>
              </w:rPr>
              <w:t xml:space="preserve">   </w:t>
            </w:r>
            <w:r>
              <w:rPr>
                <w:rFonts w:hint="eastAsia" w:ascii="楷体" w:hAnsi="楷体" w:eastAsia="楷体"/>
                <w:szCs w:val="21"/>
              </w:rPr>
              <w:t>《电力金具制造质量 焊接件》</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5</w:t>
            </w:r>
            <w:r>
              <w:rPr>
                <w:rFonts w:hint="eastAsia" w:ascii="楷体" w:hAnsi="楷体" w:eastAsia="楷体"/>
                <w:szCs w:val="21"/>
              </w:rPr>
              <w:t>、DL/T 768.7-2012</w:t>
            </w:r>
            <w:r>
              <w:rPr>
                <w:rFonts w:ascii="楷体" w:hAnsi="楷体" w:eastAsia="楷体"/>
                <w:szCs w:val="21"/>
              </w:rPr>
              <w:t xml:space="preserve">   </w:t>
            </w:r>
            <w:r>
              <w:rPr>
                <w:rFonts w:hint="eastAsia" w:ascii="楷体" w:hAnsi="楷体" w:eastAsia="楷体"/>
                <w:szCs w:val="21"/>
              </w:rPr>
              <w:t>《电力金具制造质量 钢铁件热镀锌层》</w:t>
            </w:r>
          </w:p>
          <w:p>
            <w:pPr>
              <w:rPr>
                <w:rFonts w:ascii="楷体" w:hAnsi="楷体" w:eastAsia="楷体"/>
                <w:szCs w:val="21"/>
              </w:rPr>
            </w:pPr>
            <w:r>
              <w:rPr>
                <w:rFonts w:hint="eastAsia" w:ascii="楷体" w:hAnsi="楷体" w:eastAsia="楷体"/>
                <w:szCs w:val="21"/>
              </w:rPr>
              <w:t>2</w:t>
            </w:r>
            <w:r>
              <w:rPr>
                <w:rFonts w:ascii="楷体" w:hAnsi="楷体" w:eastAsia="楷体"/>
                <w:szCs w:val="21"/>
              </w:rPr>
              <w:t>6</w:t>
            </w:r>
            <w:r>
              <w:rPr>
                <w:rFonts w:hint="eastAsia" w:ascii="楷体" w:hAnsi="楷体" w:eastAsia="楷体"/>
                <w:szCs w:val="21"/>
              </w:rPr>
              <w:t>、GB/T 2314-2008</w:t>
            </w:r>
            <w:r>
              <w:rPr>
                <w:rFonts w:ascii="楷体" w:hAnsi="楷体" w:eastAsia="楷体"/>
                <w:szCs w:val="21"/>
              </w:rPr>
              <w:t xml:space="preserve">    </w:t>
            </w:r>
            <w:r>
              <w:rPr>
                <w:rFonts w:hint="eastAsia" w:ascii="楷体" w:hAnsi="楷体" w:eastAsia="楷体"/>
                <w:szCs w:val="21"/>
              </w:rPr>
              <w:t>《电力金具通用技术条件》</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7</w:t>
            </w:r>
            <w:r>
              <w:rPr>
                <w:rFonts w:hint="eastAsia" w:ascii="楷体" w:hAnsi="楷体" w:eastAsia="楷体"/>
                <w:szCs w:val="21"/>
              </w:rPr>
              <w:t>、GB/T 2315-2008</w:t>
            </w:r>
            <w:r>
              <w:rPr>
                <w:rFonts w:ascii="楷体" w:hAnsi="楷体" w:eastAsia="楷体"/>
                <w:szCs w:val="21"/>
              </w:rPr>
              <w:t xml:space="preserve">    </w:t>
            </w:r>
            <w:r>
              <w:rPr>
                <w:rFonts w:hint="eastAsia" w:ascii="楷体" w:hAnsi="楷体" w:eastAsia="楷体"/>
                <w:szCs w:val="21"/>
              </w:rPr>
              <w:t>《电力金具 标称破坏载荷系列及连接型式尺寸》</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8</w:t>
            </w:r>
            <w:r>
              <w:rPr>
                <w:rFonts w:hint="eastAsia" w:ascii="楷体" w:hAnsi="楷体" w:eastAsia="楷体"/>
                <w:szCs w:val="21"/>
              </w:rPr>
              <w:t>、GB/T 5075-2016</w:t>
            </w:r>
            <w:r>
              <w:rPr>
                <w:rFonts w:ascii="楷体" w:hAnsi="楷体" w:eastAsia="楷体"/>
                <w:szCs w:val="21"/>
              </w:rPr>
              <w:t xml:space="preserve">    </w:t>
            </w:r>
            <w:r>
              <w:rPr>
                <w:rFonts w:hint="eastAsia" w:ascii="楷体" w:hAnsi="楷体" w:eastAsia="楷体"/>
                <w:szCs w:val="21"/>
              </w:rPr>
              <w:t>《电力金具名词术语》</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9</w:t>
            </w:r>
            <w:r>
              <w:rPr>
                <w:rFonts w:hint="eastAsia" w:ascii="楷体" w:hAnsi="楷体" w:eastAsia="楷体"/>
                <w:szCs w:val="21"/>
              </w:rPr>
              <w:t>、YYD/T3436.4-2019</w:t>
            </w:r>
            <w:r>
              <w:rPr>
                <w:rFonts w:ascii="楷体" w:hAnsi="楷体" w:eastAsia="楷体"/>
                <w:szCs w:val="21"/>
              </w:rPr>
              <w:t xml:space="preserve">  </w:t>
            </w:r>
            <w:r>
              <w:rPr>
                <w:rFonts w:hint="eastAsia" w:ascii="楷体" w:hAnsi="楷体" w:eastAsia="楷体"/>
                <w:szCs w:val="21"/>
              </w:rPr>
              <w:t>《架空通信线路配件第4部分：抱箍类、光缆预留支架》</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企业知识管理符合要求。</w:t>
            </w:r>
          </w:p>
        </w:tc>
        <w:tc>
          <w:tcPr>
            <w:tcW w:w="709" w:type="dxa"/>
          </w:tcPr>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tc>
      </w:tr>
    </w:tbl>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869"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1490" w:type="dxa"/>
            <w:vAlign w:val="center"/>
          </w:tcPr>
          <w:p>
            <w:pPr>
              <w:rPr>
                <w:rFonts w:ascii="楷体" w:hAnsi="楷体" w:eastAsia="楷体"/>
              </w:rPr>
            </w:pPr>
            <w:r>
              <w:rPr>
                <w:rFonts w:hint="eastAsia" w:ascii="楷体" w:hAnsi="楷体" w:eastAsia="楷体"/>
              </w:rPr>
              <w:t xml:space="preserve">受审核部门：生产部          </w:t>
            </w:r>
            <w:r>
              <w:rPr>
                <w:rFonts w:ascii="楷体" w:hAnsi="楷体" w:eastAsia="楷体"/>
              </w:rPr>
              <w:t xml:space="preserve">      </w:t>
            </w:r>
            <w:r>
              <w:rPr>
                <w:rFonts w:hint="eastAsia" w:ascii="楷体" w:hAnsi="楷体" w:eastAsia="楷体"/>
              </w:rPr>
              <w:t>主管领导：代云芳</w:t>
            </w:r>
            <w:r>
              <w:rPr>
                <w:rFonts w:hint="eastAsia" w:ascii="楷体" w:hAnsi="楷体" w:eastAsia="楷体" w:cs="宋体"/>
              </w:rPr>
              <w:t xml:space="preserve">        </w:t>
            </w:r>
            <w:r>
              <w:rPr>
                <w:rFonts w:hint="eastAsia" w:ascii="楷体" w:hAnsi="楷体" w:eastAsia="楷体"/>
              </w:rPr>
              <w:t>陪同人员：刘志敏</w:t>
            </w:r>
          </w:p>
        </w:tc>
        <w:tc>
          <w:tcPr>
            <w:tcW w:w="709"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ascii="楷体" w:hAnsi="楷体" w:eastAsia="楷体"/>
              </w:rPr>
            </w:pPr>
          </w:p>
        </w:tc>
        <w:tc>
          <w:tcPr>
            <w:tcW w:w="869" w:type="dxa"/>
            <w:vMerge w:val="continue"/>
            <w:vAlign w:val="center"/>
          </w:tcPr>
          <w:p>
            <w:pPr>
              <w:rPr>
                <w:rFonts w:ascii="楷体" w:hAnsi="楷体" w:eastAsia="楷体"/>
              </w:rPr>
            </w:pPr>
          </w:p>
        </w:tc>
        <w:tc>
          <w:tcPr>
            <w:tcW w:w="11490" w:type="dxa"/>
            <w:vAlign w:val="center"/>
          </w:tcPr>
          <w:p>
            <w:pPr>
              <w:rPr>
                <w:rFonts w:ascii="楷体" w:hAnsi="楷体" w:eastAsia="楷体"/>
              </w:rPr>
            </w:pPr>
            <w:r>
              <w:rPr>
                <w:rFonts w:hint="eastAsia" w:ascii="楷体" w:hAnsi="楷体" w:eastAsia="楷体"/>
              </w:rPr>
              <w:t>审核员：</w:t>
            </w:r>
            <w:r>
              <w:rPr>
                <w:rFonts w:hint="eastAsia" w:ascii="楷体" w:hAnsi="楷体" w:eastAsia="楷体" w:cs="宋体"/>
              </w:rPr>
              <w:t xml:space="preserve">周文廷 </w:t>
            </w:r>
            <w:r>
              <w:rPr>
                <w:rFonts w:ascii="楷体" w:hAnsi="楷体" w:eastAsia="楷体" w:cs="宋体"/>
              </w:rPr>
              <w:t xml:space="preserve"> </w:t>
            </w:r>
            <w:r>
              <w:rPr>
                <w:rFonts w:hint="eastAsia" w:ascii="楷体" w:hAnsi="楷体" w:eastAsia="楷体" w:cs="宋体"/>
              </w:rPr>
              <w:t xml:space="preserve"> </w:t>
            </w:r>
            <w:r>
              <w:rPr>
                <w:rFonts w:ascii="楷体" w:hAnsi="楷体" w:eastAsia="楷体" w:cs="宋体"/>
              </w:rPr>
              <w:t xml:space="preserve">        </w:t>
            </w:r>
            <w:r>
              <w:rPr>
                <w:rFonts w:hint="eastAsia" w:ascii="楷体" w:hAnsi="楷体" w:eastAsia="楷体" w:cs="宋体"/>
              </w:rPr>
              <w:t xml:space="preserve">         </w:t>
            </w:r>
            <w:r>
              <w:rPr>
                <w:rFonts w:hint="eastAsia" w:ascii="楷体" w:hAnsi="楷体" w:eastAsia="楷体"/>
              </w:rPr>
              <w:t>审核时间：202</w:t>
            </w:r>
            <w:r>
              <w:rPr>
                <w:rFonts w:ascii="楷体" w:hAnsi="楷体" w:eastAsia="楷体"/>
              </w:rPr>
              <w:t>1.2.20</w:t>
            </w:r>
          </w:p>
        </w:tc>
        <w:tc>
          <w:tcPr>
            <w:tcW w:w="709"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ascii="楷体" w:hAnsi="楷体" w:eastAsia="楷体"/>
              </w:rPr>
            </w:pPr>
          </w:p>
        </w:tc>
        <w:tc>
          <w:tcPr>
            <w:tcW w:w="869" w:type="dxa"/>
            <w:vMerge w:val="continue"/>
            <w:vAlign w:val="center"/>
          </w:tcPr>
          <w:p>
            <w:pPr>
              <w:rPr>
                <w:rFonts w:ascii="楷体" w:hAnsi="楷体" w:eastAsia="楷体"/>
              </w:rPr>
            </w:pPr>
          </w:p>
        </w:tc>
        <w:tc>
          <w:tcPr>
            <w:tcW w:w="11490" w:type="dxa"/>
            <w:vAlign w:val="center"/>
          </w:tcPr>
          <w:p>
            <w:pPr>
              <w:rPr>
                <w:rFonts w:ascii="楷体" w:hAnsi="楷体" w:eastAsia="楷体"/>
              </w:rPr>
            </w:pPr>
            <w:r>
              <w:rPr>
                <w:rFonts w:hint="eastAsia" w:ascii="楷体" w:hAnsi="楷体" w:eastAsia="楷体"/>
              </w:rPr>
              <w:t>审核条款：7.1.3/7.1.4/7.1.5/8.1/8.3/8.5.1</w:t>
            </w:r>
          </w:p>
        </w:tc>
        <w:tc>
          <w:tcPr>
            <w:tcW w:w="709"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ascii="楷体" w:hAnsi="楷体" w:eastAsia="楷体"/>
              </w:rPr>
            </w:pPr>
            <w:r>
              <w:rPr>
                <w:rFonts w:hint="eastAsia" w:ascii="楷体" w:hAnsi="楷体" w:eastAsia="楷体"/>
              </w:rPr>
              <w:t>人员、组织的知识、体系文件的建立</w:t>
            </w:r>
          </w:p>
        </w:tc>
        <w:tc>
          <w:tcPr>
            <w:tcW w:w="869" w:type="dxa"/>
          </w:tcPr>
          <w:p>
            <w:pPr>
              <w:rPr>
                <w:rFonts w:ascii="楷体" w:hAnsi="楷体" w:eastAsia="楷体"/>
              </w:rPr>
            </w:pPr>
            <w:r>
              <w:rPr>
                <w:rFonts w:hint="eastAsia" w:ascii="楷体" w:hAnsi="楷体" w:eastAsia="楷体"/>
              </w:rPr>
              <w:t>7.1.3/7.1.4/7.1.5/8.1/8.3/8.5.1</w:t>
            </w:r>
          </w:p>
        </w:tc>
        <w:tc>
          <w:tcPr>
            <w:tcW w:w="11490"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配备有办公室、会议室、车间、仓库等基础设施</w:t>
            </w:r>
          </w:p>
          <w:p>
            <w:pPr>
              <w:rPr>
                <w:rFonts w:ascii="楷体" w:hAnsi="楷体" w:eastAsia="楷体"/>
              </w:rPr>
            </w:pPr>
            <w:r>
              <w:rPr>
                <w:rFonts w:hint="eastAsia" w:ascii="楷体" w:hAnsi="楷体" w:eastAsia="楷体"/>
              </w:rPr>
              <w:t>办公主要设施：电脑、电话、一体机等，满足办公需求。</w:t>
            </w:r>
          </w:p>
          <w:p>
            <w:pPr>
              <w:rPr>
                <w:rFonts w:ascii="楷体" w:hAnsi="楷体" w:eastAsia="楷体"/>
              </w:rPr>
            </w:pPr>
            <w:r>
              <w:rPr>
                <w:rFonts w:hint="eastAsia" w:ascii="楷体" w:hAnsi="楷体" w:eastAsia="楷体"/>
              </w:rPr>
              <w:t>主要生产设备：数控车床、磨床、台式钻床、台式砂轮机、型材切割机、万能铣床、仪表车床、冲床、剪板机、数控剪板机、</w:t>
            </w:r>
          </w:p>
          <w:p>
            <w:pPr>
              <w:rPr>
                <w:rFonts w:ascii="楷体" w:hAnsi="楷体" w:eastAsia="楷体"/>
              </w:rPr>
            </w:pPr>
            <w:r>
              <w:rPr>
                <w:rFonts w:hint="eastAsia" w:ascii="楷体" w:hAnsi="楷体" w:eastAsia="楷体"/>
              </w:rPr>
              <w:t>折弯机、数控折弯机、台钻、喷绘机、压膜机、摇臂钻床、车床、铣床等,满足生产需求。</w:t>
            </w:r>
          </w:p>
          <w:p>
            <w:pPr>
              <w:rPr>
                <w:rFonts w:ascii="楷体" w:hAnsi="楷体" w:eastAsia="楷体"/>
              </w:rPr>
            </w:pPr>
            <w:r>
              <w:rPr>
                <w:rFonts w:hint="eastAsia" w:ascii="楷体" w:hAnsi="楷体" w:eastAsia="楷体"/>
              </w:rPr>
              <w:sym w:font="Wingdings 2" w:char="F098"/>
            </w:r>
            <w:r>
              <w:rPr>
                <w:rFonts w:hint="eastAsia" w:ascii="楷体" w:hAnsi="楷体" w:eastAsia="楷体"/>
              </w:rPr>
              <w:t>环境：通过企业提供的视频及远程沟通了解：</w:t>
            </w:r>
          </w:p>
          <w:p>
            <w:pPr>
              <w:rPr>
                <w:rFonts w:ascii="楷体" w:hAnsi="楷体" w:eastAsia="楷体"/>
              </w:rPr>
            </w:pPr>
            <w:r>
              <w:rPr>
                <w:rFonts w:hint="eastAsia" w:ascii="楷体" w:hAnsi="楷体" w:eastAsia="楷体"/>
              </w:rPr>
              <w:t>办公区域； 布局合理，场所卫生干净整洁，工作环境良好。</w:t>
            </w:r>
          </w:p>
          <w:p>
            <w:pPr>
              <w:rPr>
                <w:rFonts w:ascii="楷体" w:hAnsi="楷体" w:eastAsia="楷体"/>
              </w:rPr>
            </w:pPr>
            <w:r>
              <w:rPr>
                <w:rFonts w:hint="eastAsia" w:ascii="楷体" w:hAnsi="楷体" w:eastAsia="楷体"/>
              </w:rPr>
              <w:t>车间：</w:t>
            </w:r>
            <w:r>
              <w:rPr>
                <w:rFonts w:hint="eastAsia" w:ascii="楷体" w:hAnsi="楷体" w:eastAsia="楷体"/>
                <w:lang w:val="en-US" w:eastAsia="zh-CN"/>
              </w:rPr>
              <w:t>300平米</w:t>
            </w:r>
            <w:r>
              <w:rPr>
                <w:rFonts w:hint="eastAsia" w:ascii="楷体" w:hAnsi="楷体" w:eastAsia="楷体"/>
              </w:rPr>
              <w:t>，按产品分类，设备摆放有序、通道宽敞、通风良好。</w:t>
            </w:r>
          </w:p>
          <w:p>
            <w:pPr>
              <w:rPr>
                <w:rFonts w:ascii="楷体" w:hAnsi="楷体" w:eastAsia="楷体"/>
              </w:rPr>
            </w:pPr>
            <w:r>
              <w:rPr>
                <w:rFonts w:hint="eastAsia" w:ascii="楷体" w:hAnsi="楷体" w:eastAsia="楷体"/>
              </w:rPr>
              <w:t>仓库：</w:t>
            </w:r>
            <w:r>
              <w:rPr>
                <w:rFonts w:hint="eastAsia" w:ascii="楷体" w:hAnsi="楷体" w:eastAsia="楷体"/>
                <w:color w:val="000000"/>
              </w:rPr>
              <w:t>原材料库1个</w:t>
            </w:r>
            <w:r>
              <w:rPr>
                <w:rFonts w:hint="eastAsia" w:ascii="楷体" w:hAnsi="楷体" w:eastAsia="楷体"/>
                <w:color w:val="000000"/>
                <w:lang w:val="en-US" w:eastAsia="zh-CN"/>
              </w:rPr>
              <w:t>100</w:t>
            </w:r>
            <w:r>
              <w:rPr>
                <w:rFonts w:hint="eastAsia" w:ascii="楷体" w:hAnsi="楷体" w:eastAsia="楷体"/>
                <w:color w:val="000000"/>
              </w:rPr>
              <w:t>平，产品分类摆放，标识清晰</w:t>
            </w:r>
          </w:p>
          <w:p>
            <w:pPr>
              <w:rPr>
                <w:rFonts w:ascii="楷体" w:hAnsi="楷体" w:eastAsia="楷体"/>
              </w:rPr>
            </w:pPr>
            <w:r>
              <w:rPr>
                <w:rFonts w:hint="eastAsia" w:ascii="楷体" w:hAnsi="楷体" w:eastAsia="楷体"/>
              </w:rPr>
              <w:sym w:font="Wingdings 2" w:char="F098"/>
            </w:r>
            <w:r>
              <w:rPr>
                <w:rFonts w:hint="eastAsia" w:ascii="楷体" w:hAnsi="楷体" w:eastAsia="楷体"/>
              </w:rPr>
              <w:t>检验检测设备：工频耐压装置、钢卷尺、钢直尺、游标卡尺、千分尺、数字万用表、直流电流表等多种监视测量设备，满足检验需求</w:t>
            </w:r>
          </w:p>
          <w:p>
            <w:pPr>
              <w:rPr>
                <w:rFonts w:ascii="楷体" w:hAnsi="楷体" w:eastAsia="楷体"/>
                <w:color w:val="000000"/>
                <w:spacing w:val="20"/>
              </w:rPr>
            </w:pPr>
            <w:r>
              <w:rPr>
                <w:rFonts w:hint="eastAsia" w:ascii="楷体" w:hAnsi="楷体" w:eastAsia="楷体"/>
              </w:rPr>
              <w:sym w:font="Wingdings 2" w:char="F098"/>
            </w:r>
            <w:r>
              <w:rPr>
                <w:rFonts w:hint="eastAsia" w:ascii="楷体" w:hAnsi="楷体" w:eastAsia="楷体"/>
              </w:rPr>
              <w:t>不适用条款：GB/T19001-2016标准的8.3条款，GB/T19001-2016标准的8.3条款。</w:t>
            </w:r>
            <w:r>
              <w:rPr>
                <w:rFonts w:hint="eastAsia" w:ascii="楷体" w:hAnsi="楷体" w:eastAsia="楷体"/>
                <w:color w:val="000000"/>
                <w:spacing w:val="20"/>
              </w:rPr>
              <w:t>公司依据顾客提供的技术要求和图纸,按顾客的技术要求、图纸及相关标准进行生产,不涉及产品的设计与开发，因此标准8.3条款“产品和服务的设计和开发”要求不适用。公司确保</w:t>
            </w:r>
            <w:r>
              <w:rPr>
                <w:rFonts w:hint="eastAsia" w:ascii="楷体" w:hAnsi="楷体" w:eastAsia="楷体"/>
                <w:color w:val="000000"/>
              </w:rPr>
              <w:t>不适用的质量管理体系的</w:t>
            </w:r>
            <w:r>
              <w:rPr>
                <w:rFonts w:hint="eastAsia" w:ascii="楷体" w:hAnsi="楷体" w:eastAsia="楷体"/>
                <w:color w:val="000000"/>
                <w:spacing w:val="20"/>
              </w:rPr>
              <w:t>产品和服务的设计和开发</w:t>
            </w:r>
            <w:r>
              <w:rPr>
                <w:rFonts w:hint="eastAsia" w:ascii="楷体" w:hAnsi="楷体" w:eastAsia="楷体"/>
                <w:color w:val="000000"/>
              </w:rPr>
              <w:t>要求，不影响组织确保产品和服务合格以及增强顾客满意的能力或责任</w:t>
            </w:r>
            <w:r>
              <w:rPr>
                <w:rFonts w:hint="eastAsia" w:ascii="楷体" w:hAnsi="楷体" w:eastAsia="楷体"/>
                <w:color w:val="000000"/>
                <w:spacing w:val="20"/>
              </w:rPr>
              <w:t>。</w:t>
            </w:r>
          </w:p>
          <w:p>
            <w:pPr>
              <w:rPr>
                <w:rFonts w:ascii="楷体" w:hAnsi="楷体" w:eastAsia="楷体"/>
              </w:rPr>
            </w:pPr>
            <w:r>
              <w:rPr>
                <w:rFonts w:hint="eastAsia" w:ascii="楷体" w:hAnsi="楷体" w:eastAsia="楷体"/>
              </w:rPr>
              <w:sym w:font="Wingdings 2" w:char="F098"/>
            </w:r>
            <w:r>
              <w:rPr>
                <w:rFonts w:hint="eastAsia" w:ascii="楷体" w:hAnsi="楷体" w:eastAsia="楷体"/>
              </w:rPr>
              <w:t>产品实现的策划与运行</w:t>
            </w:r>
          </w:p>
          <w:p>
            <w:pPr>
              <w:rPr>
                <w:rFonts w:ascii="楷体" w:hAnsi="楷体" w:eastAsia="楷体"/>
              </w:rPr>
            </w:pPr>
            <w:r>
              <w:rPr>
                <w:rFonts w:hint="eastAsia" w:ascii="楷体" w:hAnsi="楷体" w:eastAsia="楷体"/>
              </w:rPr>
              <w:t>1、建立了质量目标：</w:t>
            </w:r>
          </w:p>
          <w:p>
            <w:pPr>
              <w:rPr>
                <w:rFonts w:ascii="楷体" w:hAnsi="楷体" w:eastAsia="楷体"/>
              </w:rPr>
            </w:pPr>
            <w:r>
              <w:rPr>
                <w:rFonts w:ascii="楷体" w:hAnsi="楷体" w:eastAsia="楷体"/>
              </w:rPr>
              <w:t>1</w:t>
            </w:r>
            <w:r>
              <w:rPr>
                <w:rFonts w:hint="eastAsia" w:ascii="楷体" w:hAnsi="楷体" w:eastAsia="楷体"/>
              </w:rPr>
              <w:t>）</w:t>
            </w:r>
            <w:r>
              <w:rPr>
                <w:rFonts w:ascii="楷体" w:hAnsi="楷体" w:eastAsia="楷体"/>
              </w:rPr>
              <w:t>产品生产检验合格率不低于</w:t>
            </w:r>
            <w:r>
              <w:rPr>
                <w:rFonts w:hint="eastAsia" w:ascii="楷体" w:hAnsi="楷体" w:eastAsia="楷体"/>
              </w:rPr>
              <w:t>99</w:t>
            </w:r>
            <w:r>
              <w:rPr>
                <w:rFonts w:ascii="楷体" w:hAnsi="楷体" w:eastAsia="楷体"/>
              </w:rPr>
              <w:t>%</w:t>
            </w:r>
          </w:p>
          <w:p>
            <w:pPr>
              <w:rPr>
                <w:rFonts w:ascii="楷体" w:hAnsi="楷体" w:eastAsia="楷体"/>
              </w:rPr>
            </w:pPr>
            <w:r>
              <w:rPr>
                <w:rFonts w:ascii="楷体" w:hAnsi="楷体" w:eastAsia="楷体"/>
              </w:rPr>
              <w:t>2</w:t>
            </w:r>
            <w:r>
              <w:rPr>
                <w:rFonts w:hint="eastAsia" w:ascii="楷体" w:hAnsi="楷体" w:eastAsia="楷体"/>
              </w:rPr>
              <w:t>）</w:t>
            </w:r>
            <w:r>
              <w:rPr>
                <w:rFonts w:ascii="楷体" w:hAnsi="楷体" w:eastAsia="楷体"/>
              </w:rPr>
              <w:t>产品销售服务交货及时率</w:t>
            </w:r>
            <w:r>
              <w:rPr>
                <w:rFonts w:hint="eastAsia" w:ascii="楷体" w:hAnsi="楷体" w:eastAsia="楷体"/>
              </w:rPr>
              <w:t>100</w:t>
            </w:r>
            <w:r>
              <w:rPr>
                <w:rFonts w:ascii="楷体" w:hAnsi="楷体" w:eastAsia="楷体"/>
              </w:rPr>
              <w:t>%</w:t>
            </w:r>
          </w:p>
          <w:p>
            <w:pPr>
              <w:rPr>
                <w:rFonts w:ascii="楷体" w:hAnsi="楷体" w:eastAsia="楷体"/>
              </w:rPr>
            </w:pPr>
            <w:r>
              <w:rPr>
                <w:rFonts w:ascii="楷体" w:hAnsi="楷体" w:eastAsia="楷体"/>
              </w:rPr>
              <w:t>3</w:t>
            </w:r>
            <w:r>
              <w:rPr>
                <w:rFonts w:hint="eastAsia" w:ascii="楷体" w:hAnsi="楷体" w:eastAsia="楷体"/>
              </w:rPr>
              <w:t>）</w:t>
            </w:r>
            <w:r>
              <w:rPr>
                <w:rFonts w:ascii="楷体" w:hAnsi="楷体" w:eastAsia="楷体"/>
              </w:rPr>
              <w:t>顾客满意度</w:t>
            </w:r>
            <w:r>
              <w:rPr>
                <w:rFonts w:hint="eastAsia" w:ascii="楷体" w:hAnsi="楷体" w:eastAsia="楷体"/>
              </w:rPr>
              <w:t>100</w:t>
            </w:r>
            <w:r>
              <w:rPr>
                <w:rFonts w:ascii="楷体" w:hAnsi="楷体" w:eastAsia="楷体"/>
              </w:rPr>
              <w:t>%，并逐年提高；</w:t>
            </w:r>
          </w:p>
          <w:p>
            <w:pPr>
              <w:rPr>
                <w:rFonts w:ascii="楷体" w:hAnsi="楷体" w:eastAsia="楷体"/>
              </w:rPr>
            </w:pPr>
            <w:r>
              <w:rPr>
                <w:rFonts w:ascii="楷体" w:hAnsi="楷体" w:eastAsia="楷体"/>
              </w:rPr>
              <w:t>4</w:t>
            </w:r>
            <w:r>
              <w:rPr>
                <w:rFonts w:hint="eastAsia" w:ascii="楷体" w:hAnsi="楷体" w:eastAsia="楷体"/>
              </w:rPr>
              <w:t>）</w:t>
            </w:r>
            <w:r>
              <w:rPr>
                <w:rFonts w:ascii="楷体" w:hAnsi="楷体" w:eastAsia="楷体"/>
              </w:rPr>
              <w:t>处理顾客反馈信息率和售后服务100%。</w:t>
            </w:r>
          </w:p>
          <w:p>
            <w:pPr>
              <w:rPr>
                <w:rFonts w:ascii="楷体" w:hAnsi="楷体" w:eastAsia="楷体"/>
              </w:rPr>
            </w:pPr>
            <w:r>
              <w:rPr>
                <w:rFonts w:hint="eastAsia" w:ascii="楷体" w:hAnsi="楷体" w:eastAsia="楷体"/>
              </w:rPr>
              <w:t>2、收集的相关法律法规、技术标准：产品质量法、合同法、标准化法、招标投标法及产品的相关国家标准、行业标准、 GB/T 19000-2016《质量管理体系 基础和术语》</w:t>
            </w:r>
            <w:r>
              <w:rPr>
                <w:rFonts w:ascii="楷体" w:hAnsi="楷体" w:eastAsia="楷体"/>
              </w:rPr>
              <w:t>等，经常网上查阅、及时与顾客沟通确保最新版本。</w:t>
            </w:r>
          </w:p>
          <w:p>
            <w:pPr>
              <w:rPr>
                <w:rFonts w:ascii="楷体" w:hAnsi="楷体" w:eastAsia="楷体"/>
              </w:rPr>
            </w:pPr>
            <w:r>
              <w:rPr>
                <w:rFonts w:hint="eastAsia" w:ascii="楷体" w:hAnsi="楷体" w:eastAsia="楷体"/>
              </w:rPr>
              <w:t>3、策划产品和服务实现流程为：</w:t>
            </w:r>
          </w:p>
          <w:p>
            <w:pPr>
              <w:rPr>
                <w:rFonts w:ascii="楷体" w:hAnsi="楷体" w:eastAsia="楷体"/>
              </w:rPr>
            </w:pPr>
            <w:r>
              <w:rPr>
                <w:rFonts w:hint="eastAsia" w:ascii="楷体" w:hAnsi="楷体" w:eastAsia="楷体"/>
              </w:rPr>
              <w:t>销售服务流程：</w:t>
            </w:r>
            <w:r>
              <w:rPr>
                <w:rFonts w:hint="eastAsia" w:ascii="楷体" w:hAnsi="楷体" w:eastAsia="楷体"/>
                <w:szCs w:val="21"/>
              </w:rPr>
              <w:t>客户接触--合同评审--签订合同--客户付款--入帐--采购--送货--客户验收</w:t>
            </w:r>
          </w:p>
          <w:p>
            <w:pPr>
              <w:rPr>
                <w:rFonts w:ascii="楷体" w:hAnsi="楷体" w:eastAsia="楷体" w:cs="楷体"/>
              </w:rPr>
            </w:pPr>
            <w:r>
              <w:rPr>
                <w:rFonts w:hint="eastAsia" w:ascii="楷体" w:hAnsi="楷体" w:eastAsia="楷体" w:cs="楷体"/>
              </w:rPr>
              <w:t>接地线、个人保安线：采购→绝缘杆和钩→安装钩→调试接地棒→加固接地棒→检验→包装。</w:t>
            </w:r>
          </w:p>
          <w:p>
            <w:pPr>
              <w:rPr>
                <w:rFonts w:ascii="楷体" w:hAnsi="楷体" w:eastAsia="楷体" w:cs="楷体"/>
              </w:rPr>
            </w:pPr>
            <w:r>
              <w:rPr>
                <w:rFonts w:hint="eastAsia" w:ascii="楷体" w:hAnsi="楷体" w:eastAsia="楷体" w:cs="楷体"/>
              </w:rPr>
              <w:t>标志牌：采购→裁剪→覆膜→检验→包装</w:t>
            </w:r>
          </w:p>
          <w:p>
            <w:pPr>
              <w:rPr>
                <w:rFonts w:ascii="楷体" w:hAnsi="楷体" w:eastAsia="楷体" w:cs="楷体"/>
              </w:rPr>
            </w:pPr>
            <w:r>
              <w:rPr>
                <w:rFonts w:hint="eastAsia" w:ascii="楷体" w:hAnsi="楷体" w:eastAsia="楷体" w:cs="楷体"/>
              </w:rPr>
              <w:t>绝缘梯凳：绝缘方管、梯子棍、铆钉→加工梯子棍→绝缘方管打孔→安装梯子棍→加固梯子棍→安装梯脚→包装。</w:t>
            </w:r>
          </w:p>
          <w:p>
            <w:pPr>
              <w:rPr>
                <w:rFonts w:ascii="楷体" w:hAnsi="楷体" w:eastAsia="楷体" w:cs="楷体"/>
              </w:rPr>
            </w:pPr>
            <w:r>
              <w:rPr>
                <w:rFonts w:hint="eastAsia" w:ascii="楷体" w:hAnsi="楷体" w:eastAsia="楷体" w:cs="楷体"/>
              </w:rPr>
              <w:t>绝缘围栏、遮拦：绝缘管→铆钉→绝缘管打孔→组装→检验→包装。</w:t>
            </w:r>
          </w:p>
          <w:p>
            <w:pPr>
              <w:rPr>
                <w:rFonts w:ascii="楷体" w:hAnsi="楷体" w:eastAsia="楷体" w:cs="楷体"/>
              </w:rPr>
            </w:pPr>
            <w:r>
              <w:rPr>
                <w:rFonts w:hint="eastAsia" w:ascii="楷体" w:hAnsi="楷体" w:eastAsia="楷体" w:cs="楷体"/>
              </w:rPr>
              <w:t>防鸟设备： 标准件、u型底座-----组装----检验灵活性360°旋转（风力旋转）---铁件腐蚀---检验---入库</w:t>
            </w:r>
          </w:p>
          <w:p>
            <w:pPr>
              <w:rPr>
                <w:rFonts w:ascii="楷体" w:hAnsi="楷体" w:eastAsia="楷体" w:cs="楷体"/>
              </w:rPr>
            </w:pPr>
            <w:r>
              <w:rPr>
                <w:rFonts w:hint="eastAsia" w:ascii="楷体" w:hAnsi="楷体" w:eastAsia="楷体" w:cs="楷体"/>
              </w:rPr>
              <w:t>操作杆：成型杆-切割-装配-检验-入库</w:t>
            </w:r>
          </w:p>
          <w:p>
            <w:pPr>
              <w:rPr>
                <w:rFonts w:ascii="楷体" w:hAnsi="楷体" w:eastAsia="楷体" w:cs="楷体"/>
              </w:rPr>
            </w:pPr>
            <w:r>
              <w:rPr>
                <w:rFonts w:hint="eastAsia" w:ascii="楷体" w:hAnsi="楷体" w:eastAsia="楷体" w:cs="楷体"/>
              </w:rPr>
              <w:t>绝缘护罩：成型件-修整-卡扣-检验-入库</w:t>
            </w:r>
          </w:p>
          <w:p>
            <w:pPr>
              <w:rPr>
                <w:rFonts w:ascii="楷体" w:hAnsi="楷体" w:eastAsia="楷体" w:cs="楷体"/>
              </w:rPr>
            </w:pPr>
            <w:r>
              <w:rPr>
                <w:rFonts w:hint="eastAsia" w:ascii="楷体" w:hAnsi="楷体" w:eastAsia="楷体" w:cs="楷体"/>
              </w:rPr>
              <w:t>绝缘胶垫：成型件-裁剪-检验-入库</w:t>
            </w:r>
          </w:p>
          <w:p>
            <w:pPr>
              <w:rPr>
                <w:rFonts w:ascii="楷体" w:hAnsi="楷体" w:eastAsia="楷体"/>
              </w:rPr>
            </w:pPr>
            <w:r>
              <w:rPr>
                <w:rFonts w:hint="eastAsia" w:ascii="楷体" w:hAnsi="楷体" w:eastAsia="楷体"/>
              </w:rPr>
              <w:t>4、规定了产品和服务实现所需的设备设施、人员等资源要求</w:t>
            </w:r>
          </w:p>
          <w:p>
            <w:pPr>
              <w:rPr>
                <w:rFonts w:ascii="楷体" w:hAnsi="楷体" w:eastAsia="楷体"/>
              </w:rPr>
            </w:pPr>
            <w:r>
              <w:rPr>
                <w:rFonts w:ascii="楷体" w:hAnsi="楷体" w:eastAsia="楷体"/>
              </w:rPr>
              <w:pict>
                <v:line id="Line 19" o:spid="_x0000_s1026" o:spt="20" style="position:absolute;left:0pt;margin-left:603pt;margin-top:9.35pt;height:39pt;width:0.05pt;z-index:251658240;mso-width-relative:page;mso-height-relative:page;" coordsize="21600,21600">
                  <v:path arrowok="t"/>
                  <v:fill focussize="0,0"/>
                  <v:stroke weight="1pt"/>
                  <v:imagedata o:title=""/>
                  <o:lock v:ext="edit"/>
                </v:line>
              </w:pict>
            </w:r>
            <w:r>
              <w:rPr>
                <w:rFonts w:hint="eastAsia" w:ascii="楷体" w:hAnsi="楷体" w:eastAsia="楷体"/>
              </w:rPr>
              <w:t>5、编制了《设备管理制度》、《销售服务规范》、《顾客满意度调查制度》、《服务质量检查制度》等作业文件。</w:t>
            </w:r>
          </w:p>
          <w:p>
            <w:pPr>
              <w:rPr>
                <w:rFonts w:ascii="楷体" w:hAnsi="楷体" w:eastAsia="楷体"/>
              </w:rPr>
            </w:pPr>
            <w:r>
              <w:rPr>
                <w:rFonts w:hint="eastAsia" w:ascii="楷体" w:hAnsi="楷体" w:eastAsia="楷体"/>
              </w:rPr>
              <w:t>6、需确认过程：</w:t>
            </w:r>
            <w:r>
              <w:rPr>
                <w:rFonts w:hint="eastAsia" w:ascii="楷体" w:hAnsi="楷体" w:eastAsia="楷体" w:cs="楷体_GB2312"/>
                <w:b/>
                <w:szCs w:val="21"/>
              </w:rPr>
              <w:t>组装过程和销售过程</w:t>
            </w:r>
            <w:r>
              <w:rPr>
                <w:rFonts w:hint="eastAsia" w:ascii="楷体" w:hAnsi="楷体" w:eastAsia="楷体"/>
                <w:szCs w:val="21"/>
              </w:rPr>
              <w:t>。</w:t>
            </w:r>
          </w:p>
          <w:p>
            <w:pPr>
              <w:rPr>
                <w:rFonts w:ascii="楷体" w:hAnsi="楷体" w:eastAsia="楷体"/>
              </w:rPr>
            </w:pPr>
            <w:r>
              <w:rPr>
                <w:rFonts w:hint="eastAsia" w:ascii="楷体" w:hAnsi="楷体" w:eastAsia="楷体"/>
              </w:rPr>
              <w:t>7、外包过程：部分试验</w:t>
            </w:r>
            <w:r>
              <w:rPr>
                <w:rFonts w:hint="eastAsia" w:ascii="楷体" w:hAnsi="楷体" w:eastAsia="楷体"/>
                <w:lang w:eastAsia="zh-CN"/>
              </w:rPr>
              <w:t>、</w:t>
            </w:r>
            <w:r>
              <w:rPr>
                <w:rFonts w:hint="eastAsia" w:ascii="楷体" w:hAnsi="楷体" w:eastAsia="楷体"/>
                <w:lang w:val="en-US" w:eastAsia="zh-CN"/>
              </w:rPr>
              <w:t>产品运输</w:t>
            </w:r>
            <w:r>
              <w:rPr>
                <w:rFonts w:hint="eastAsia" w:ascii="楷体" w:hAnsi="楷体" w:eastAsia="楷体"/>
              </w:rPr>
              <w:t>。</w:t>
            </w:r>
          </w:p>
        </w:tc>
        <w:tc>
          <w:tcPr>
            <w:tcW w:w="709" w:type="dxa"/>
          </w:tcPr>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tc>
      </w:tr>
    </w:tbl>
    <w:p>
      <w:pPr>
        <w:pStyle w:val="4"/>
      </w:pPr>
    </w:p>
    <w:p>
      <w:pPr>
        <w:pStyle w:val="4"/>
      </w:pPr>
      <w:r>
        <w:rPr>
          <w:rFonts w:hint="eastAsia"/>
        </w:rPr>
        <w:t>说明：不符合标注N</w:t>
      </w:r>
    </w:p>
    <w:p>
      <w:pPr>
        <w:pStyle w:val="4"/>
      </w:pPr>
    </w:p>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文本框 1"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72E07"/>
    <w:rsid w:val="000157FF"/>
    <w:rsid w:val="00082C5A"/>
    <w:rsid w:val="000C3614"/>
    <w:rsid w:val="00122DD1"/>
    <w:rsid w:val="00123874"/>
    <w:rsid w:val="001528F0"/>
    <w:rsid w:val="001746CC"/>
    <w:rsid w:val="00187B23"/>
    <w:rsid w:val="001A4B3D"/>
    <w:rsid w:val="002507D7"/>
    <w:rsid w:val="002F7896"/>
    <w:rsid w:val="002F79B0"/>
    <w:rsid w:val="00303076"/>
    <w:rsid w:val="00320DC5"/>
    <w:rsid w:val="003551CC"/>
    <w:rsid w:val="003A0094"/>
    <w:rsid w:val="003E340A"/>
    <w:rsid w:val="00406094"/>
    <w:rsid w:val="00430FA3"/>
    <w:rsid w:val="00486AF8"/>
    <w:rsid w:val="0054581D"/>
    <w:rsid w:val="00574C5A"/>
    <w:rsid w:val="005B32C2"/>
    <w:rsid w:val="00647550"/>
    <w:rsid w:val="006A70E7"/>
    <w:rsid w:val="006C5409"/>
    <w:rsid w:val="0072256B"/>
    <w:rsid w:val="007809FD"/>
    <w:rsid w:val="00793842"/>
    <w:rsid w:val="00802205"/>
    <w:rsid w:val="0082276F"/>
    <w:rsid w:val="00873763"/>
    <w:rsid w:val="0087591D"/>
    <w:rsid w:val="008A24C7"/>
    <w:rsid w:val="008F15EE"/>
    <w:rsid w:val="00903061"/>
    <w:rsid w:val="009061E2"/>
    <w:rsid w:val="009414C7"/>
    <w:rsid w:val="00945F1C"/>
    <w:rsid w:val="00972E07"/>
    <w:rsid w:val="009D231E"/>
    <w:rsid w:val="009D52B1"/>
    <w:rsid w:val="009D7B9B"/>
    <w:rsid w:val="00A25373"/>
    <w:rsid w:val="00A9693A"/>
    <w:rsid w:val="00B27106"/>
    <w:rsid w:val="00B653B7"/>
    <w:rsid w:val="00BB7CC8"/>
    <w:rsid w:val="00BD533C"/>
    <w:rsid w:val="00C12C0C"/>
    <w:rsid w:val="00C534CF"/>
    <w:rsid w:val="00C72B47"/>
    <w:rsid w:val="00CA3997"/>
    <w:rsid w:val="00D2004B"/>
    <w:rsid w:val="00D560FA"/>
    <w:rsid w:val="00DB6CD8"/>
    <w:rsid w:val="00DF23C3"/>
    <w:rsid w:val="00E1440C"/>
    <w:rsid w:val="00E6529C"/>
    <w:rsid w:val="00E66C43"/>
    <w:rsid w:val="00F353C3"/>
    <w:rsid w:val="00F37BAC"/>
    <w:rsid w:val="00F9736C"/>
    <w:rsid w:val="00FF63AA"/>
    <w:rsid w:val="11690927"/>
    <w:rsid w:val="331533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3"/>
    <w:qFormat/>
    <w:uiPriority w:val="0"/>
    <w:pPr>
      <w:spacing w:line="360" w:lineRule="auto"/>
      <w:ind w:left="200" w:leftChars="200"/>
    </w:pPr>
    <w:rPr>
      <w:rFonts w:ascii="宋体" w:hAnsi="Courier New" w:cs="Courier New" w:eastAsiaTheme="minorEastAsia"/>
      <w:sz w:val="24"/>
      <w:szCs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rFonts w:ascii="Times New Roman" w:hAnsi="Times New Roman" w:eastAsia="宋体" w:cs="Times New Roman"/>
      <w:sz w:val="18"/>
      <w:szCs w:val="18"/>
    </w:rPr>
  </w:style>
  <w:style w:type="character" w:customStyle="1" w:styleId="9">
    <w:name w:val="页脚 字符"/>
    <w:basedOn w:val="7"/>
    <w:link w:val="4"/>
    <w:uiPriority w:val="99"/>
    <w:rPr>
      <w:rFonts w:ascii="Times New Roman" w:hAnsi="Times New Roman" w:eastAsia="宋体" w:cs="Times New Roman"/>
      <w:sz w:val="18"/>
      <w:szCs w:val="18"/>
    </w:rPr>
  </w:style>
  <w:style w:type="character" w:customStyle="1" w:styleId="10">
    <w:name w:val="批注框文本 字符"/>
    <w:basedOn w:val="7"/>
    <w:link w:val="3"/>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99"/>
    <w:pPr>
      <w:ind w:firstLine="420" w:firstLineChars="200"/>
    </w:pPr>
  </w:style>
  <w:style w:type="character" w:customStyle="1" w:styleId="13">
    <w:name w:val="纯文本 字符"/>
    <w:link w:val="2"/>
    <w:uiPriority w:val="0"/>
    <w:rPr>
      <w:rFonts w:ascii="宋体" w:hAnsi="Courier New" w:cs="Courier New"/>
      <w:kern w:val="2"/>
      <w:sz w:val="24"/>
      <w:szCs w:val="21"/>
    </w:rPr>
  </w:style>
  <w:style w:type="character" w:customStyle="1" w:styleId="14">
    <w:name w:val="纯文本 Char1"/>
    <w:basedOn w:val="7"/>
    <w:semiHidden/>
    <w:qFormat/>
    <w:uiPriority w:val="99"/>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758</Words>
  <Characters>4324</Characters>
  <Lines>36</Lines>
  <Paragraphs>10</Paragraphs>
  <TotalTime>17</TotalTime>
  <ScaleCrop>false</ScaleCrop>
  <LinksUpToDate>false</LinksUpToDate>
  <CharactersWithSpaces>5072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2021-03-02T12:36:11Z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