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0106-2021-QEO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唐山市丰南区丰安安全生产培训咨询有限公司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Q:37.05.04</w:t>
            </w:r>
          </w:p>
          <w:p>
            <w:pPr>
              <w:spacing w:line="240" w:lineRule="exact"/>
              <w:jc w:val="center"/>
              <w:rPr>
                <w:b/>
                <w:color w:val="000000"/>
                <w:sz w:val="20"/>
                <w:szCs w:val="20"/>
              </w:rPr>
            </w:pPr>
            <w:r>
              <w:rPr>
                <w:b/>
                <w:color w:val="000000"/>
                <w:sz w:val="20"/>
                <w:szCs w:val="20"/>
              </w:rPr>
              <w:t>E:37.05.04</w:t>
            </w:r>
          </w:p>
          <w:p>
            <w:pPr>
              <w:spacing w:line="240" w:lineRule="exact"/>
              <w:jc w:val="center"/>
              <w:rPr>
                <w:b/>
                <w:color w:val="000000"/>
                <w:sz w:val="20"/>
                <w:szCs w:val="20"/>
              </w:rPr>
            </w:pPr>
            <w:r>
              <w:rPr>
                <w:b/>
                <w:color w:val="000000"/>
                <w:sz w:val="20"/>
                <w:szCs w:val="20"/>
              </w:rPr>
              <w:t>O:37.05.04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45001</w:t>
      </w:r>
      <w:r>
        <w:rPr>
          <w:rFonts w:ascii="宋体" w:hAnsi="宋体"/>
          <w:b/>
          <w:color w:val="000000"/>
          <w:sz w:val="20"/>
          <w:szCs w:val="20"/>
          <w:lang w:val="de-DE"/>
        </w:rPr>
        <w:t>-20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唐山市丰南区丰安安全生产培训咨询有限公司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丰南区丰南镇双湖里希望街</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063300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唐山市丰南区丰南镇青年路161-11号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063300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韩昌印</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13933323778</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王恩英</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肖东辉</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3" w:name="联系人邮箱Add1"/>
            <w:r>
              <w:rPr>
                <w:rFonts w:ascii="宋体"/>
                <w:b/>
                <w:color w:val="000000"/>
                <w:sz w:val="20"/>
                <w:szCs w:val="20"/>
              </w:rPr>
              <w:t>fapx3066@163.com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Q：生产经营单位其他从业人员培训服务</w:t>
            </w:r>
          </w:p>
          <w:p>
            <w:pPr>
              <w:spacing w:line="400" w:lineRule="exact"/>
              <w:rPr>
                <w:rFonts w:ascii="宋体" w:hAnsi="宋体"/>
                <w:b/>
                <w:color w:val="000000"/>
                <w:sz w:val="20"/>
                <w:szCs w:val="20"/>
              </w:rPr>
            </w:pPr>
            <w:r>
              <w:rPr>
                <w:rFonts w:ascii="宋体" w:hAnsi="宋体"/>
                <w:b/>
                <w:color w:val="000000"/>
                <w:sz w:val="20"/>
                <w:szCs w:val="20"/>
              </w:rPr>
              <w:t>E：生产经营单位其他从业人员培训服务所涉及场所的相关环境管理活动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O：生产经营单位其他从业人员培训服务所涉及场所的相关职业健康安全管理活动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Q：37.05.04</w:t>
            </w:r>
          </w:p>
          <w:p>
            <w:pPr>
              <w:spacing w:line="280" w:lineRule="exact"/>
              <w:rPr>
                <w:rFonts w:ascii="宋体"/>
                <w:b/>
                <w:color w:val="000000"/>
                <w:sz w:val="20"/>
                <w:szCs w:val="20"/>
              </w:rPr>
            </w:pPr>
            <w:r>
              <w:rPr>
                <w:rFonts w:ascii="宋体"/>
                <w:b/>
                <w:color w:val="000000"/>
                <w:sz w:val="20"/>
                <w:szCs w:val="20"/>
              </w:rPr>
              <w:t>E：37.05.04</w:t>
            </w:r>
          </w:p>
          <w:p>
            <w:pPr>
              <w:spacing w:line="280" w:lineRule="exact"/>
              <w:rPr>
                <w:rFonts w:ascii="宋体"/>
                <w:b/>
                <w:color w:val="000000"/>
                <w:sz w:val="20"/>
                <w:szCs w:val="20"/>
              </w:rPr>
            </w:pPr>
            <w:r>
              <w:rPr>
                <w:rFonts w:ascii="宋体"/>
                <w:b/>
                <w:color w:val="000000"/>
                <w:sz w:val="20"/>
                <w:szCs w:val="20"/>
              </w:rPr>
              <w:t>O：37.05.04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000000"/>
                <w:sz w:val="20"/>
                <w:szCs w:val="20"/>
              </w:rPr>
            </w:pPr>
          </w:p>
          <w:p>
            <w:pPr>
              <w:tabs>
                <w:tab w:val="left" w:pos="360"/>
              </w:tabs>
              <w:ind w:left="360" w:hanging="360"/>
              <w:rPr>
                <w:rFonts w:hint="default"/>
                <w:color w:val="FF0000"/>
                <w:lang w:val="en-US" w:eastAsia="zh-CN"/>
              </w:rPr>
            </w:pPr>
            <w:r>
              <w:rPr>
                <w:rFonts w:hint="default"/>
                <w:color w:val="FF0000"/>
                <w:lang w:val="en-US" w:eastAsia="zh-CN"/>
              </w:rPr>
              <w:t>应急管理综合基地</w:t>
            </w:r>
            <w:r>
              <w:rPr>
                <w:rFonts w:hint="default"/>
                <w:color w:val="FF0000"/>
                <w:lang w:val="en-US" w:eastAsia="zh-CN"/>
              </w:rPr>
              <w:tab/>
            </w:r>
            <w:r>
              <w:rPr>
                <w:rFonts w:hint="default"/>
                <w:color w:val="FF0000"/>
                <w:lang w:val="en-US" w:eastAsia="zh-CN"/>
              </w:rPr>
              <w:tab/>
            </w:r>
            <w:r>
              <w:rPr>
                <w:rFonts w:hint="default"/>
                <w:color w:val="FF0000"/>
                <w:lang w:val="en-US" w:eastAsia="zh-CN"/>
              </w:rPr>
              <w:t>其他从业人员培训服务</w:t>
            </w:r>
            <w:r>
              <w:rPr>
                <w:rFonts w:hint="default"/>
                <w:color w:val="FF0000"/>
                <w:lang w:val="en-US" w:eastAsia="zh-CN"/>
              </w:rPr>
              <w:tab/>
            </w:r>
            <w:r>
              <w:rPr>
                <w:rFonts w:hint="default"/>
                <w:color w:val="FF0000"/>
                <w:lang w:val="en-US" w:eastAsia="zh-CN"/>
              </w:rPr>
              <w:tab/>
            </w:r>
          </w:p>
          <w:p>
            <w:pPr>
              <w:tabs>
                <w:tab w:val="left" w:pos="900"/>
              </w:tabs>
              <w:spacing w:line="360" w:lineRule="auto"/>
              <w:jc w:val="left"/>
              <w:rPr>
                <w:rFonts w:hint="eastAsia" w:ascii="华文中宋" w:hAnsi="华文中宋" w:eastAsia="华文中宋" w:cs="宋体"/>
                <w:b/>
                <w:color w:val="000000"/>
                <w:sz w:val="21"/>
                <w:szCs w:val="21"/>
                <w:lang w:val="zh-CN"/>
              </w:rPr>
            </w:pPr>
            <w:r>
              <w:rPr>
                <w:rFonts w:hint="eastAsia"/>
                <w:color w:val="FF0000"/>
                <w:lang w:val="en-US" w:eastAsia="zh-CN"/>
              </w:rPr>
              <w:t>地址：</w:t>
            </w:r>
            <w:r>
              <w:rPr>
                <w:rFonts w:hint="default"/>
                <w:color w:val="FF0000"/>
                <w:lang w:val="en-US" w:eastAsia="zh-CN"/>
              </w:rPr>
              <w:t>望海路69号</w:t>
            </w:r>
            <w:r>
              <w:rPr>
                <w:rFonts w:hint="default"/>
                <w:color w:val="FF0000"/>
                <w:lang w:val="en-US" w:eastAsia="zh-CN"/>
              </w:rPr>
              <w:tab/>
            </w:r>
            <w:r>
              <w:rPr>
                <w:rFonts w:hint="eastAsia"/>
                <w:color w:val="FF0000"/>
                <w:lang w:val="en-US" w:eastAsia="zh-CN"/>
              </w:rPr>
              <w:t>路程：</w:t>
            </w:r>
            <w:r>
              <w:rPr>
                <w:rFonts w:hint="default"/>
                <w:color w:val="FF0000"/>
                <w:lang w:val="en-US" w:eastAsia="zh-CN"/>
              </w:rPr>
              <w:t>5分钟</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60" w:lineRule="auto"/>
        <w:ind w:left="812" w:leftChars="100" w:hanging="602" w:hangingChars="300"/>
        <w:rPr>
          <w:rFonts w:hint="default" w:ascii="宋体" w:hAnsi="宋体" w:eastAsia="宋体" w:cs="宋体"/>
          <w:sz w:val="28"/>
          <w:szCs w:val="28"/>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 xml:space="preserve">管理层  </w:t>
      </w:r>
      <w:r>
        <w:rPr>
          <w:rFonts w:hint="eastAsia" w:ascii="宋体" w:hAnsi="宋体" w:eastAsia="宋体" w:cs="Times New Roman"/>
          <w:b/>
          <w:color w:val="000000"/>
          <w:spacing w:val="-4"/>
          <w:sz w:val="20"/>
          <w:szCs w:val="20"/>
          <w:lang w:val="en-US" w:eastAsia="zh-CN"/>
        </w:rPr>
        <w:t>综合部、</w:t>
      </w:r>
      <w:r>
        <w:rPr>
          <w:rFonts w:hint="eastAsia" w:ascii="宋体" w:hAnsi="宋体" w:cs="Times New Roman"/>
          <w:b/>
          <w:color w:val="000000"/>
          <w:spacing w:val="-4"/>
          <w:sz w:val="20"/>
          <w:szCs w:val="20"/>
          <w:lang w:val="en-US" w:eastAsia="zh-CN"/>
        </w:rPr>
        <w:t>教务管理部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办公场所、培训场所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生产经营单位其他从业人员培训服务</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 xml:space="preserve">管理层  </w:t>
            </w:r>
            <w:r>
              <w:rPr>
                <w:rFonts w:hint="eastAsia"/>
                <w:lang w:val="en-US" w:eastAsia="zh-CN"/>
              </w:rPr>
              <w:t>综合部、教务管理部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hAnsi="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hint="default"/>
                <w:color w:val="FF0000"/>
                <w:lang w:val="en-US" w:eastAsia="zh-CN"/>
              </w:rPr>
            </w:pPr>
            <w:r>
              <w:rPr>
                <w:rFonts w:hint="default"/>
                <w:color w:val="FF0000"/>
                <w:lang w:val="en-US" w:eastAsia="zh-CN"/>
              </w:rPr>
              <w:t>应急管理综合基地</w:t>
            </w:r>
            <w:r>
              <w:rPr>
                <w:rFonts w:hint="default"/>
                <w:color w:val="FF0000"/>
                <w:lang w:val="en-US" w:eastAsia="zh-CN"/>
              </w:rPr>
              <w:tab/>
            </w:r>
            <w:r>
              <w:rPr>
                <w:rFonts w:hint="default"/>
                <w:color w:val="FF0000"/>
                <w:lang w:val="en-US" w:eastAsia="zh-CN"/>
              </w:rPr>
              <w:tab/>
            </w:r>
            <w:r>
              <w:rPr>
                <w:rFonts w:hint="default"/>
                <w:color w:val="FF0000"/>
                <w:lang w:val="en-US" w:eastAsia="zh-CN"/>
              </w:rPr>
              <w:t>其他从业人员培训服务</w:t>
            </w:r>
            <w:r>
              <w:rPr>
                <w:rFonts w:hint="default"/>
                <w:color w:val="FF0000"/>
                <w:lang w:val="en-US" w:eastAsia="zh-CN"/>
              </w:rPr>
              <w:tab/>
            </w:r>
            <w:r>
              <w:rPr>
                <w:rFonts w:hint="default"/>
                <w:color w:val="FF0000"/>
                <w:lang w:val="en-US" w:eastAsia="zh-CN"/>
              </w:rPr>
              <w:tab/>
            </w:r>
          </w:p>
          <w:p>
            <w:pPr>
              <w:tabs>
                <w:tab w:val="left" w:pos="360"/>
              </w:tabs>
              <w:ind w:left="360" w:hanging="360"/>
              <w:rPr>
                <w:rFonts w:ascii="宋体"/>
                <w:color w:val="000000"/>
                <w:sz w:val="20"/>
                <w:szCs w:val="20"/>
              </w:rPr>
            </w:pPr>
            <w:r>
              <w:rPr>
                <w:rFonts w:hint="eastAsia"/>
                <w:color w:val="FF0000"/>
                <w:lang w:val="en-US" w:eastAsia="zh-CN"/>
              </w:rPr>
              <w:t>地址：</w:t>
            </w:r>
            <w:r>
              <w:rPr>
                <w:rFonts w:hint="default"/>
                <w:color w:val="FF0000"/>
                <w:lang w:val="en-US" w:eastAsia="zh-CN"/>
              </w:rPr>
              <w:t>望海路69号</w:t>
            </w:r>
            <w:r>
              <w:rPr>
                <w:rFonts w:hint="default"/>
                <w:color w:val="FF0000"/>
                <w:lang w:val="en-US" w:eastAsia="zh-CN"/>
              </w:rPr>
              <w:tab/>
            </w:r>
            <w:r>
              <w:rPr>
                <w:rFonts w:hint="eastAsia"/>
                <w:color w:val="FF0000"/>
                <w:lang w:val="en-US" w:eastAsia="zh-CN"/>
              </w:rPr>
              <w:t>路程：</w:t>
            </w:r>
            <w:r>
              <w:rPr>
                <w:rFonts w:hint="default"/>
                <w:color w:val="FF0000"/>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4" w:name="生产地址"/>
            <w:r>
              <w:t>唐山市丰南区丰南镇青年路161-11号</w:t>
            </w:r>
            <w:bookmarkEnd w:id="1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pStyle w:val="3"/>
              <w:rPr>
                <w:rFonts w:hint="eastAsia"/>
              </w:rPr>
            </w:pPr>
            <w:r>
              <w:rPr>
                <w:rFonts w:hint="eastAsia"/>
              </w:rPr>
              <w:t xml:space="preserve"> AQ/T 8011-2016</w:t>
            </w:r>
            <w:r>
              <w:rPr>
                <w:rFonts w:hint="eastAsia"/>
              </w:rPr>
              <w:tab/>
            </w:r>
            <w:r>
              <w:rPr>
                <w:rFonts w:hint="eastAsia"/>
              </w:rPr>
              <w:t xml:space="preserve"> 安全培训机构基本条件</w:t>
            </w:r>
            <w:r>
              <w:rPr>
                <w:rFonts w:hint="eastAsia"/>
              </w:rPr>
              <w:tab/>
            </w:r>
            <w:r>
              <w:rPr>
                <w:rFonts w:hint="eastAsia"/>
              </w:rPr>
              <w:t>国家安全生产监督管理.</w:t>
            </w:r>
            <w:r>
              <w:rPr>
                <w:rFonts w:hint="eastAsia"/>
              </w:rPr>
              <w:tab/>
            </w:r>
            <w:r>
              <w:rPr>
                <w:rFonts w:hint="eastAsia"/>
              </w:rPr>
              <w:t>2017-03-01</w:t>
            </w:r>
            <w:r>
              <w:rPr>
                <w:rFonts w:hint="eastAsia"/>
              </w:rPr>
              <w:tab/>
            </w:r>
            <w:r>
              <w:rPr>
                <w:rFonts w:hint="eastAsia"/>
              </w:rPr>
              <w:t>现行</w:t>
            </w:r>
          </w:p>
          <w:p>
            <w:pPr>
              <w:pStyle w:val="3"/>
              <w:rPr>
                <w:rFonts w:hint="eastAsia"/>
              </w:rPr>
            </w:pPr>
            <w:r>
              <w:rPr>
                <w:rFonts w:hint="eastAsia"/>
              </w:rPr>
              <w:t xml:space="preserve"> XF/T 1300-2016</w:t>
            </w:r>
            <w:r>
              <w:rPr>
                <w:rFonts w:hint="eastAsia"/>
              </w:rPr>
              <w:tab/>
            </w:r>
            <w:r>
              <w:rPr>
                <w:rFonts w:hint="eastAsia"/>
              </w:rPr>
              <w:t xml:space="preserve"> 社会消防安全培训机构设置与评审</w:t>
            </w:r>
            <w:r>
              <w:rPr>
                <w:rFonts w:hint="eastAsia"/>
              </w:rPr>
              <w:tab/>
            </w:r>
            <w:r>
              <w:rPr>
                <w:rFonts w:hint="eastAsia"/>
              </w:rPr>
              <w:t>应急管理部</w:t>
            </w:r>
            <w:r>
              <w:rPr>
                <w:rFonts w:hint="eastAsia"/>
              </w:rPr>
              <w:tab/>
            </w:r>
            <w:r>
              <w:rPr>
                <w:rFonts w:hint="eastAsia"/>
              </w:rPr>
              <w:t>2016-08-01</w:t>
            </w:r>
            <w:r>
              <w:rPr>
                <w:rFonts w:hint="eastAsia"/>
              </w:rPr>
              <w:tab/>
            </w:r>
            <w:r>
              <w:rPr>
                <w:rFonts w:hint="eastAsia"/>
              </w:rPr>
              <w:t>现行</w:t>
            </w:r>
          </w:p>
          <w:p>
            <w:pPr>
              <w:pStyle w:val="3"/>
              <w:rPr>
                <w:rFonts w:hint="eastAsia"/>
              </w:rPr>
            </w:pPr>
            <w:r>
              <w:rPr>
                <w:rFonts w:hint="eastAsia"/>
              </w:rPr>
              <w:t>国家安全监管总局关于印发特种作业人员安全技术培训大纲和考核标准(试行)的通知    安监总培训[2011]112号</w:t>
            </w:r>
          </w:p>
          <w:p>
            <w:pPr>
              <w:pStyle w:val="3"/>
              <w:rPr>
                <w:rFonts w:hint="eastAsia"/>
              </w:rPr>
            </w:pPr>
          </w:p>
          <w:p>
            <w:pPr>
              <w:pStyle w:val="3"/>
              <w:rPr>
                <w:rFonts w:hint="eastAsia"/>
              </w:rPr>
            </w:pPr>
            <w:r>
              <w:rPr>
                <w:rFonts w:hint="eastAsia"/>
              </w:rPr>
              <w:t>河北省安全生产监督管理局关于进一步加强全省特种作业安全技术时间操作技能考试通知  冀安监管人（2018）125号</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900"/>
              </w:tabs>
              <w:spacing w:line="360" w:lineRule="auto"/>
              <w:jc w:val="left"/>
              <w:rPr>
                <w:rFonts w:hint="eastAsia" w:ascii="华文中宋" w:hAnsi="华文中宋" w:eastAsia="华文中宋"/>
                <w:color w:val="000000"/>
                <w:sz w:val="21"/>
                <w:szCs w:val="21"/>
              </w:rPr>
            </w:pPr>
          </w:p>
          <w:p>
            <w:pPr>
              <w:rPr>
                <w:rFonts w:hint="eastAsia" w:ascii="Arial" w:hAnsi="Arial" w:cs="Arial"/>
                <w:b/>
                <w:bCs/>
                <w:color w:val="000000"/>
                <w:kern w:val="0"/>
                <w:szCs w:val="21"/>
              </w:rPr>
            </w:pPr>
            <w:r>
              <w:rPr>
                <w:rFonts w:hint="eastAsia" w:ascii="Arial" w:hAnsi="Arial" w:cs="Arial"/>
                <w:b/>
                <w:bCs/>
                <w:color w:val="000000"/>
                <w:kern w:val="0"/>
                <w:szCs w:val="21"/>
              </w:rPr>
              <w:t>签到合同--准备培训课程资料--实施</w:t>
            </w:r>
            <w:r>
              <w:rPr>
                <w:rFonts w:hint="eastAsia" w:ascii="Arial" w:hAnsi="Arial" w:cs="Arial"/>
                <w:b/>
                <w:bCs/>
                <w:color w:val="000000"/>
                <w:kern w:val="0"/>
                <w:szCs w:val="21"/>
                <w:lang w:val="en-US" w:eastAsia="zh-CN"/>
              </w:rPr>
              <w:t>其他</w:t>
            </w:r>
            <w:r>
              <w:rPr>
                <w:rFonts w:hint="eastAsia" w:ascii="宋体" w:hAnsi="宋体"/>
                <w:szCs w:val="21"/>
              </w:rPr>
              <w:t>从业人员</w:t>
            </w:r>
            <w:r>
              <w:rPr>
                <w:rFonts w:hint="eastAsia" w:ascii="Arial" w:hAnsi="Arial" w:cs="Arial"/>
                <w:b/>
                <w:bCs/>
                <w:color w:val="000000"/>
                <w:kern w:val="0"/>
                <w:szCs w:val="21"/>
              </w:rPr>
              <w:t>培训</w:t>
            </w:r>
            <w:r>
              <w:rPr>
                <w:rFonts w:hint="eastAsia" w:ascii="Arial" w:hAnsi="Arial" w:cs="Arial"/>
                <w:b/>
                <w:bCs/>
                <w:color w:val="000000"/>
                <w:kern w:val="0"/>
                <w:szCs w:val="21"/>
                <w:lang w:eastAsia="zh-CN"/>
              </w:rPr>
              <w:t>（</w:t>
            </w:r>
            <w:r>
              <w:rPr>
                <w:rFonts w:hint="eastAsia" w:ascii="Arial" w:hAnsi="Arial" w:cs="Arial"/>
                <w:b/>
                <w:bCs/>
                <w:color w:val="000000"/>
                <w:kern w:val="0"/>
                <w:szCs w:val="21"/>
                <w:lang w:val="en-US" w:eastAsia="zh-CN"/>
              </w:rPr>
              <w:t>签到-上课</w:t>
            </w:r>
            <w:r>
              <w:rPr>
                <w:rFonts w:hint="eastAsia" w:ascii="Arial" w:hAnsi="Arial" w:cs="Arial"/>
                <w:b/>
                <w:bCs/>
                <w:color w:val="000000"/>
                <w:kern w:val="0"/>
                <w:szCs w:val="21"/>
              </w:rPr>
              <w:t>-</w:t>
            </w:r>
            <w:r>
              <w:rPr>
                <w:rFonts w:hint="eastAsia" w:ascii="Arial" w:hAnsi="Arial" w:cs="Arial"/>
                <w:b/>
                <w:bCs/>
                <w:color w:val="000000"/>
                <w:kern w:val="0"/>
                <w:szCs w:val="21"/>
                <w:lang w:val="en-US" w:eastAsia="zh-CN"/>
              </w:rPr>
              <w:t>考试-培训评价-培训证书）-</w:t>
            </w:r>
            <w:r>
              <w:rPr>
                <w:rFonts w:hint="eastAsia" w:ascii="Arial" w:hAnsi="Arial" w:cs="Arial"/>
                <w:b/>
                <w:bCs/>
                <w:color w:val="000000"/>
                <w:kern w:val="0"/>
                <w:szCs w:val="21"/>
              </w:rPr>
              <w:t>客户验收-后续服务</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Arial" w:hAnsi="Arial" w:cs="Arial"/>
                <w:b/>
                <w:bCs/>
                <w:color w:val="000000"/>
                <w:kern w:val="0"/>
                <w:szCs w:val="21"/>
              </w:rPr>
              <w:t>实施</w:t>
            </w:r>
            <w:r>
              <w:rPr>
                <w:rFonts w:hint="eastAsia" w:ascii="Arial" w:hAnsi="Arial" w:cs="Arial"/>
                <w:b/>
                <w:bCs/>
                <w:color w:val="000000"/>
                <w:kern w:val="0"/>
                <w:szCs w:val="21"/>
                <w:lang w:val="en-US" w:eastAsia="zh-CN"/>
              </w:rPr>
              <w:t>其他</w:t>
            </w:r>
            <w:r>
              <w:rPr>
                <w:rFonts w:hint="eastAsia" w:ascii="宋体" w:hAnsi="宋体"/>
                <w:szCs w:val="21"/>
              </w:rPr>
              <w:t>从业人员</w:t>
            </w:r>
            <w:r>
              <w:rPr>
                <w:rFonts w:hint="eastAsia" w:ascii="宋体" w:hAnsi="宋体"/>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培训手册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Arial" w:hAnsi="Arial" w:cs="Arial"/>
                <w:b/>
                <w:bCs/>
                <w:color w:val="000000"/>
                <w:kern w:val="0"/>
                <w:szCs w:val="21"/>
              </w:rPr>
              <w:t>实施</w:t>
            </w:r>
            <w:r>
              <w:rPr>
                <w:rFonts w:hint="eastAsia" w:ascii="Arial" w:hAnsi="Arial" w:cs="Arial"/>
                <w:b/>
                <w:bCs/>
                <w:color w:val="000000"/>
                <w:kern w:val="0"/>
                <w:szCs w:val="21"/>
                <w:lang w:val="en-US" w:eastAsia="zh-CN"/>
              </w:rPr>
              <w:t>其他</w:t>
            </w:r>
            <w:r>
              <w:rPr>
                <w:rFonts w:hint="eastAsia" w:ascii="宋体" w:hAnsi="宋体"/>
                <w:szCs w:val="21"/>
              </w:rPr>
              <w:t>从业人员</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lang w:val="en-US" w:eastAsia="zh-CN"/>
              </w:rPr>
              <w:t>培训服务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1</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hint="eastAsia" w:ascii="宋体"/>
                <w:color w:val="FF0000"/>
                <w:sz w:val="20"/>
                <w:szCs w:val="20"/>
              </w:rPr>
            </w:pPr>
            <w:r>
              <w:rPr>
                <w:rFonts w:hint="eastAsia" w:ascii="宋体"/>
                <w:color w:val="FF0000"/>
                <w:sz w:val="20"/>
                <w:szCs w:val="20"/>
              </w:rPr>
              <w:t>有临时场所时，场所</w:t>
            </w:r>
            <w:r>
              <w:rPr>
                <w:rFonts w:ascii="宋体"/>
                <w:color w:val="FF0000"/>
                <w:sz w:val="20"/>
                <w:szCs w:val="20"/>
              </w:rPr>
              <w:t>1</w:t>
            </w:r>
            <w:r>
              <w:rPr>
                <w:rFonts w:hint="eastAsia" w:ascii="宋体"/>
                <w:color w:val="FF0000"/>
                <w:sz w:val="20"/>
                <w:szCs w:val="20"/>
              </w:rPr>
              <w:t>：</w:t>
            </w:r>
            <w:r>
              <w:rPr>
                <w:rFonts w:hint="eastAsia" w:ascii="宋体"/>
                <w:color w:val="FF0000"/>
                <w:sz w:val="20"/>
                <w:szCs w:val="20"/>
                <w:lang w:val="en-US" w:eastAsia="zh-CN"/>
              </w:rPr>
              <w:t>10</w:t>
            </w:r>
            <w:r>
              <w:rPr>
                <w:rFonts w:hint="eastAsia" w:ascii="宋体"/>
                <w:color w:val="FF0000"/>
                <w:sz w:val="20"/>
                <w:szCs w:val="20"/>
              </w:rPr>
              <w:t>人，场所</w:t>
            </w:r>
            <w:r>
              <w:rPr>
                <w:rFonts w:ascii="宋体"/>
                <w:color w:val="FF0000"/>
                <w:sz w:val="20"/>
                <w:szCs w:val="20"/>
              </w:rPr>
              <w:t>2</w:t>
            </w:r>
            <w:r>
              <w:rPr>
                <w:rFonts w:hint="eastAsia" w:ascii="宋体"/>
                <w:color w:val="FF0000"/>
                <w:sz w:val="20"/>
                <w:szCs w:val="20"/>
              </w:rPr>
              <w:t>：人，场所</w:t>
            </w:r>
            <w:r>
              <w:rPr>
                <w:rFonts w:ascii="宋体"/>
                <w:color w:val="FF0000"/>
                <w:sz w:val="20"/>
                <w:szCs w:val="20"/>
              </w:rPr>
              <w:t>3</w:t>
            </w:r>
            <w:r>
              <w:rPr>
                <w:rFonts w:hint="eastAsia" w:ascii="宋体"/>
                <w:color w:val="FF0000"/>
                <w:sz w:val="20"/>
                <w:szCs w:val="20"/>
              </w:rPr>
              <w:t>：人，场所</w:t>
            </w:r>
            <w:r>
              <w:rPr>
                <w:rFonts w:ascii="宋体"/>
                <w:color w:val="FF0000"/>
                <w:sz w:val="20"/>
                <w:szCs w:val="20"/>
              </w:rPr>
              <w:t>4</w:t>
            </w:r>
            <w:r>
              <w:rPr>
                <w:rFonts w:hint="eastAsia" w:ascii="宋体"/>
                <w:color w:val="FF0000"/>
                <w:sz w:val="20"/>
                <w:szCs w:val="20"/>
              </w:rPr>
              <w:t>：人</w:t>
            </w:r>
          </w:p>
          <w:p>
            <w:pPr>
              <w:tabs>
                <w:tab w:val="left" w:pos="360"/>
              </w:tabs>
              <w:ind w:left="360" w:hanging="360"/>
              <w:rPr>
                <w:rFonts w:hint="default"/>
                <w:color w:val="FF0000"/>
                <w:lang w:val="en-US" w:eastAsia="zh-CN"/>
              </w:rPr>
            </w:pPr>
            <w:r>
              <w:rPr>
                <w:rFonts w:hint="default"/>
                <w:color w:val="FF0000"/>
                <w:lang w:val="en-US" w:eastAsia="zh-CN"/>
              </w:rPr>
              <w:t>应急管理综合基地</w:t>
            </w:r>
            <w:r>
              <w:rPr>
                <w:rFonts w:hint="default"/>
                <w:color w:val="FF0000"/>
                <w:lang w:val="en-US" w:eastAsia="zh-CN"/>
              </w:rPr>
              <w:tab/>
            </w:r>
            <w:r>
              <w:rPr>
                <w:rFonts w:hint="default"/>
                <w:color w:val="FF0000"/>
                <w:lang w:val="en-US" w:eastAsia="zh-CN"/>
              </w:rPr>
              <w:tab/>
            </w:r>
            <w:r>
              <w:rPr>
                <w:rFonts w:hint="default"/>
                <w:color w:val="FF0000"/>
                <w:lang w:val="en-US" w:eastAsia="zh-CN"/>
              </w:rPr>
              <w:t>其他从业人员培训服务</w:t>
            </w:r>
            <w:r>
              <w:rPr>
                <w:rFonts w:hint="default"/>
                <w:color w:val="FF0000"/>
                <w:lang w:val="en-US" w:eastAsia="zh-CN"/>
              </w:rPr>
              <w:tab/>
            </w:r>
            <w:r>
              <w:rPr>
                <w:rFonts w:hint="default"/>
                <w:color w:val="FF0000"/>
                <w:lang w:val="en-US" w:eastAsia="zh-CN"/>
              </w:rPr>
              <w:tab/>
            </w:r>
          </w:p>
          <w:p>
            <w:pPr>
              <w:tabs>
                <w:tab w:val="left" w:pos="900"/>
              </w:tabs>
              <w:spacing w:line="360" w:lineRule="auto"/>
              <w:jc w:val="left"/>
              <w:rPr>
                <w:rFonts w:hint="eastAsia" w:ascii="华文中宋" w:hAnsi="华文中宋" w:eastAsia="华文中宋" w:cs="宋体"/>
                <w:b/>
                <w:color w:val="000000"/>
                <w:sz w:val="21"/>
                <w:szCs w:val="21"/>
                <w:lang w:val="zh-CN"/>
              </w:rPr>
            </w:pPr>
            <w:r>
              <w:rPr>
                <w:rFonts w:hint="eastAsia"/>
                <w:color w:val="FF0000"/>
                <w:lang w:val="en-US" w:eastAsia="zh-CN"/>
              </w:rPr>
              <w:t>地址：</w:t>
            </w:r>
            <w:r>
              <w:rPr>
                <w:rFonts w:hint="default"/>
                <w:color w:val="FF0000"/>
                <w:lang w:val="en-US" w:eastAsia="zh-CN"/>
              </w:rPr>
              <w:t>望海路69号</w:t>
            </w:r>
            <w:r>
              <w:rPr>
                <w:rFonts w:hint="default"/>
                <w:color w:val="FF0000"/>
                <w:lang w:val="en-US" w:eastAsia="zh-CN"/>
              </w:rPr>
              <w:tab/>
            </w:r>
            <w:r>
              <w:rPr>
                <w:rFonts w:hint="eastAsia"/>
                <w:color w:val="FF0000"/>
                <w:lang w:val="en-US" w:eastAsia="zh-CN"/>
              </w:rPr>
              <w:t>路程：</w:t>
            </w:r>
            <w:r>
              <w:rPr>
                <w:rFonts w:hint="default"/>
                <w:color w:val="FF0000"/>
                <w:lang w:val="en-US" w:eastAsia="zh-CN"/>
              </w:rPr>
              <w:t>5分钟</w:t>
            </w:r>
          </w:p>
          <w:p>
            <w:pPr>
              <w:pStyle w:val="3"/>
              <w:ind w:left="0" w:leftChars="0" w:firstLine="0" w:firstLineChars="0"/>
            </w:pP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综合部、教务管理部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培训过程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培训场所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综合部、教务管理部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培训场所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综合部、教务管理部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培训场所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 xml:space="preserve"> 公司于</w:t>
            </w:r>
            <w:r>
              <w:rPr>
                <w:rFonts w:hint="eastAsia"/>
              </w:rPr>
              <w:t>2020年12月20日</w:t>
            </w:r>
            <w:r>
              <w:rPr>
                <w:rFonts w:hint="eastAsia" w:ascii="宋体" w:hAnsi="宋体"/>
                <w:szCs w:val="21"/>
                <w:lang w:val="zh-CN"/>
              </w:rPr>
              <w:t>进行了内部审核，</w:t>
            </w:r>
            <w:r>
              <w:rPr>
                <w:rFonts w:hint="eastAsia"/>
              </w:rPr>
              <w:t>内审组成员：组长：肖东辉</w:t>
            </w:r>
            <w:r>
              <w:rPr>
                <w:rFonts w:hint="eastAsia"/>
                <w:lang w:val="en-US" w:eastAsia="zh-CN"/>
              </w:rPr>
              <w:t xml:space="preserve"> </w:t>
            </w:r>
            <w:r>
              <w:rPr>
                <w:rFonts w:hint="eastAsia"/>
              </w:rPr>
              <w:t>组员：孙秀芝</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15"/>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2020年12月30日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bookmarkStart w:id="15" w:name="审核范围"/>
      <w:r>
        <w:rPr>
          <w:rFonts w:hint="eastAsia" w:ascii="宋体" w:hAnsi="宋体"/>
          <w:szCs w:val="21"/>
        </w:rPr>
        <w:t>Q：生产经营单位其他从业人员培训服务</w:t>
      </w:r>
    </w:p>
    <w:p>
      <w:pPr>
        <w:rPr>
          <w:rFonts w:hint="eastAsia" w:ascii="宋体" w:hAnsi="宋体"/>
          <w:szCs w:val="21"/>
        </w:rPr>
      </w:pPr>
      <w:r>
        <w:rPr>
          <w:rFonts w:hint="eastAsia" w:ascii="宋体" w:hAnsi="宋体"/>
          <w:szCs w:val="21"/>
        </w:rPr>
        <w:t>E：生产经营单位其他从业人员培训服务所涉及场所的相关环境管理活动</w:t>
      </w:r>
    </w:p>
    <w:p>
      <w:pPr>
        <w:spacing w:line="300" w:lineRule="auto"/>
        <w:ind w:firstLine="210" w:firstLineChars="100"/>
        <w:rPr>
          <w:rFonts w:hint="eastAsia" w:ascii="宋体" w:hAnsi="宋体"/>
          <w:szCs w:val="21"/>
        </w:rPr>
      </w:pPr>
      <w:r>
        <w:rPr>
          <w:rFonts w:hint="eastAsia" w:ascii="宋体" w:hAnsi="宋体"/>
          <w:szCs w:val="21"/>
        </w:rPr>
        <w:t>O：生产经营单位其他从业人员培训服务所涉及场所的相关职业健康安全管理活动</w:t>
      </w:r>
      <w:bookmarkEnd w:id="15"/>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8240" behindDoc="0" locked="0" layoutInCell="1" allowOverlap="1">
            <wp:simplePos x="0" y="0"/>
            <wp:positionH relativeFrom="column">
              <wp:posOffset>1805940</wp:posOffset>
            </wp:positionH>
            <wp:positionV relativeFrom="paragraph">
              <wp:posOffset>-241300</wp:posOffset>
            </wp:positionV>
            <wp:extent cx="691515" cy="436245"/>
            <wp:effectExtent l="0" t="0" r="698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2021.2.15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唐山市丰南区丰安安全生产培训咨询有限公司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2"/>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李京田 </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p>
          <w:p>
            <w:pPr>
              <w:spacing w:line="280" w:lineRule="exact"/>
              <w:rPr>
                <w:rFonts w:hint="eastAsia"/>
              </w:rPr>
            </w:pPr>
            <w:r>
              <w:rPr>
                <w:rFonts w:hint="eastAsia"/>
              </w:rPr>
              <w:t xml:space="preserve">受审核方确认：         </w:t>
            </w:r>
          </w:p>
          <w:p>
            <w:pPr>
              <w:spacing w:line="280" w:lineRule="exact"/>
              <w:rPr>
                <w:rFonts w:hint="eastAsia"/>
              </w:rPr>
            </w:pPr>
          </w:p>
          <w:p>
            <w:pPr>
              <w:spacing w:line="280" w:lineRule="exact"/>
              <w:rPr>
                <w:rFonts w:hint="eastAsia"/>
              </w:rPr>
            </w:pPr>
            <w:r>
              <w:rPr>
                <w:rFonts w:hint="eastAsia"/>
              </w:rPr>
              <w:t>日期：</w:t>
            </w:r>
            <w:r>
              <w:rPr>
                <w:rFonts w:hint="eastAsia"/>
                <w:lang w:val="en-US" w:eastAsia="zh-CN"/>
              </w:rPr>
              <w:t>2021</w:t>
            </w:r>
            <w:r>
              <w:rPr>
                <w:rFonts w:hint="eastAsia"/>
              </w:rPr>
              <w:t xml:space="preserve">年 </w:t>
            </w:r>
            <w:r>
              <w:rPr>
                <w:rFonts w:hint="eastAsia"/>
                <w:lang w:val="en-US" w:eastAsia="zh-CN"/>
              </w:rPr>
              <w:t>2</w:t>
            </w:r>
            <w:r>
              <w:rPr>
                <w:rFonts w:hint="eastAsia"/>
              </w:rPr>
              <w:t xml:space="preserve">月 </w:t>
            </w:r>
            <w:r>
              <w:rPr>
                <w:rFonts w:hint="eastAsia"/>
                <w:lang w:val="en-US" w:eastAsia="zh-CN"/>
              </w:rPr>
              <w:t>15</w:t>
            </w:r>
            <w:r>
              <w:rPr>
                <w:rFonts w:hint="eastAsia"/>
              </w:rPr>
              <w:t xml:space="preserve">  日</w:t>
            </w:r>
          </w:p>
          <w:p>
            <w:pPr>
              <w:pStyle w:val="3"/>
              <w:rPr>
                <w:rFonts w:hint="eastAsia"/>
                <w:b/>
                <w:color w:val="000000"/>
                <w:sz w:val="22"/>
                <w:szCs w:val="22"/>
              </w:rPr>
            </w:pPr>
          </w:p>
          <w:p>
            <w:pPr>
              <w:pStyle w:val="3"/>
              <w:rPr>
                <w:rFonts w:hint="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lang w:eastAsia="zh-CN"/>
              </w:rPr>
              <w:t>□</w:t>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w:t>
            </w:r>
            <w:r>
              <w:rPr>
                <w:rFonts w:hint="eastAsia"/>
                <w:lang w:eastAsia="zh-CN"/>
              </w:rPr>
              <w:t>□</w:t>
            </w:r>
            <w:r>
              <w:rPr>
                <w:rFonts w:hint="eastAsia"/>
              </w:rPr>
              <w:t>可进行二阶段审核□需再次安排一阶段审核□不进入二阶段审核</w:t>
            </w:r>
            <w:r>
              <w:tab/>
            </w:r>
          </w:p>
          <w:p>
            <w:pPr>
              <w:spacing w:line="280" w:lineRule="exact"/>
              <w:rPr>
                <w:rFonts w:hint="eastAsia"/>
              </w:rPr>
            </w:pPr>
          </w:p>
          <w:p>
            <w:pPr>
              <w:spacing w:line="280" w:lineRule="exact"/>
              <w:rPr>
                <w:rFonts w:hint="eastAsia"/>
                <w:lang w:val="en-US" w:eastAsia="zh-CN"/>
              </w:rPr>
            </w:pPr>
            <w:r>
              <w:rPr>
                <w:rFonts w:hint="eastAsia"/>
              </w:rPr>
              <w:t>验证人：</w:t>
            </w:r>
            <w:r>
              <w:rPr>
                <w:rFonts w:hint="eastAsia"/>
                <w:lang w:val="en-US" w:eastAsia="zh-CN"/>
              </w:rPr>
              <w:t xml:space="preserve">李京田   </w:t>
            </w:r>
            <w:r>
              <w:rPr>
                <w:rFonts w:hint="eastAsia"/>
              </w:rPr>
              <w:t>日期：</w:t>
            </w:r>
            <w:r>
              <w:rPr>
                <w:rFonts w:hint="eastAsia"/>
                <w:lang w:val="en-US" w:eastAsia="zh-CN"/>
              </w:rPr>
              <w:t>2021.2.16</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B91642"/>
    <w:rsid w:val="30AD401C"/>
    <w:rsid w:val="3817617F"/>
    <w:rsid w:val="4D827ADC"/>
    <w:rsid w:val="563946A5"/>
    <w:rsid w:val="6310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4"/>
    <w:semiHidden/>
    <w:qFormat/>
    <w:locked/>
    <w:uiPriority w:val="99"/>
    <w:rPr>
      <w:rFonts w:ascii="Times New Roman" w:hAnsi="Times New Roman" w:eastAsia="宋体" w:cs="Times New Roman"/>
      <w:sz w:val="18"/>
      <w:szCs w:val="18"/>
    </w:rPr>
  </w:style>
  <w:style w:type="character" w:customStyle="1" w:styleId="11">
    <w:name w:val="页脚 字符"/>
    <w:link w:val="5"/>
    <w:qFormat/>
    <w:locked/>
    <w:uiPriority w:val="99"/>
    <w:rPr>
      <w:rFonts w:ascii="Times New Roman" w:hAnsi="Times New Roman" w:eastAsia="宋体" w:cs="Times New Roman"/>
      <w:sz w:val="18"/>
      <w:szCs w:val="18"/>
    </w:rPr>
  </w:style>
  <w:style w:type="character" w:customStyle="1" w:styleId="12">
    <w:name w:val="页眉 字符"/>
    <w:link w:val="2"/>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2021-02-16T14:15:49Z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