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089</w:t>
      </w:r>
      <w:r>
        <w:rPr>
          <w:rFonts w:ascii="Times New Roman" w:hAnsi="Times New Roman" w:cs="Times New Roman"/>
          <w:u w:val="single"/>
        </w:rPr>
        <w:t>-201</w:t>
      </w:r>
      <w:r>
        <w:rPr>
          <w:rFonts w:hint="eastAsia" w:ascii="Times New Roman" w:hAnsi="Times New Roman" w:cs="Times New Roman"/>
          <w:u w:val="single"/>
          <w:lang w:val="en-US" w:eastAsia="zh-CN"/>
        </w:rPr>
        <w:t>6</w:t>
      </w:r>
      <w:r>
        <w:rPr>
          <w:rFonts w:ascii="Times New Roman" w:hAnsi="Times New Roman" w:cs="Times New Roman"/>
          <w:u w:val="single"/>
        </w:rPr>
        <w:t>-2019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hAnsi="宋体"/>
                <w:b w:val="0"/>
                <w:bCs w:val="0"/>
                <w:szCs w:val="21"/>
              </w:rPr>
              <w:t>百恒石油装备有限公司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2019.10.22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高级审核员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徐占有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15045909648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（06版）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428489A"/>
    <w:rsid w:val="2FBE06C8"/>
    <w:rsid w:val="398978F9"/>
    <w:rsid w:val="47822F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hp</cp:lastModifiedBy>
  <dcterms:modified xsi:type="dcterms:W3CDTF">2019-10-22T00:21:24Z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