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东营金丰正阳科技发展有限公司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024</w:t>
      </w:r>
      <w:r>
        <w:rPr>
          <w:rFonts w:ascii="Times New Roman" w:hAnsi="Times New Roman" w:cs="Times New Roman"/>
          <w:sz w:val="32"/>
          <w:u w:val="single"/>
        </w:rPr>
        <w:t>-20</w:t>
      </w:r>
      <w:r>
        <w:rPr>
          <w:rFonts w:hint="eastAsia" w:ascii="Times New Roman" w:hAnsi="Times New Roman" w:cs="Times New Roman"/>
          <w:sz w:val="32"/>
          <w:u w:val="single"/>
          <w:lang w:val="en-US" w:eastAsia="zh-CN"/>
        </w:rPr>
        <w:t>20</w:t>
      </w:r>
      <w:r>
        <w:rPr>
          <w:rFonts w:ascii="Times New Roman" w:hAnsi="Times New Roman" w:cs="Times New Roman"/>
          <w:sz w:val="32"/>
          <w:u w:val="single"/>
        </w:rPr>
        <w:t>-202</w:t>
      </w:r>
      <w:bookmarkEnd w:id="1"/>
      <w:r>
        <w:rPr>
          <w:rFonts w:hint="eastAsia" w:ascii="Times New Roman" w:hAnsi="Times New Roman" w:cs="Times New Roman"/>
          <w:sz w:val="32"/>
          <w:u w:val="single"/>
          <w:lang w:val="en-US" w:eastAsia="zh-CN"/>
        </w:rPr>
        <w:t xml:space="preserve">1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024</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1</w:t>
      </w:r>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5"/>
        <w:tblW w:w="9418"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3435"/>
        <w:gridCol w:w="175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435"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东营金丰正阳科技发展有限公司</w:t>
            </w:r>
          </w:p>
        </w:tc>
        <w:tc>
          <w:tcPr>
            <w:tcW w:w="1755"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400" w:type="dxa"/>
            <w:noWrap w:val="0"/>
            <w:vAlign w:val="center"/>
          </w:tcPr>
          <w:p>
            <w:pPr>
              <w:tabs>
                <w:tab w:val="left" w:pos="880"/>
              </w:tabs>
              <w:autoSpaceDE w:val="0"/>
              <w:autoSpaceDN w:val="0"/>
              <w:adjustRightInd w:val="0"/>
              <w:spacing w:before="35" w:line="360" w:lineRule="auto"/>
              <w:ind w:right="161" w:firstLine="210" w:firstLineChars="100"/>
              <w:jc w:val="both"/>
              <w:rPr>
                <w:rFonts w:hint="eastAsia" w:ascii="宋体" w:eastAsia="宋体" w:cs="宋体"/>
                <w:kern w:val="0"/>
                <w:szCs w:val="21"/>
                <w:lang w:val="en-US" w:eastAsia="zh-CN"/>
              </w:rPr>
            </w:pPr>
            <w:r>
              <w:rPr>
                <w:rFonts w:hint="eastAsia" w:ascii="宋体" w:eastAsia="宋体" w:cs="宋体"/>
                <w:kern w:val="0"/>
                <w:szCs w:val="21"/>
                <w:lang w:val="en-US" w:eastAsia="zh-CN"/>
              </w:rPr>
              <w:t>栾丽燕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3435" w:type="dxa"/>
            <w:noWrap w:val="0"/>
            <w:vAlign w:val="top"/>
          </w:tcPr>
          <w:p>
            <w:pPr>
              <w:tabs>
                <w:tab w:val="left" w:pos="880"/>
              </w:tabs>
              <w:autoSpaceDE w:val="0"/>
              <w:autoSpaceDN w:val="0"/>
              <w:adjustRightInd w:val="0"/>
              <w:spacing w:before="35" w:line="276" w:lineRule="auto"/>
              <w:ind w:right="161" w:rightChars="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ISC-2020-0647</w:t>
            </w:r>
          </w:p>
        </w:tc>
        <w:tc>
          <w:tcPr>
            <w:tcW w:w="1755"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2400"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3435"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cs="宋体"/>
                <w:kern w:val="0"/>
                <w:szCs w:val="21"/>
              </w:rPr>
              <w:t>第</w:t>
            </w:r>
            <w:r>
              <w:rPr>
                <w:rFonts w:hint="eastAsia" w:ascii="宋体" w:cs="宋体"/>
                <w:kern w:val="0"/>
                <w:szCs w:val="21"/>
                <w:lang w:eastAsia="zh-CN"/>
              </w:rPr>
              <w:t>一</w:t>
            </w:r>
            <w:r>
              <w:rPr>
                <w:rFonts w:hint="eastAsia" w:ascii="宋体" w:cs="宋体"/>
                <w:kern w:val="0"/>
                <w:szCs w:val="21"/>
              </w:rPr>
              <w:t>次</w:t>
            </w:r>
          </w:p>
        </w:tc>
        <w:tc>
          <w:tcPr>
            <w:tcW w:w="1755"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00" w:type="dxa"/>
            <w:noWrap w:val="0"/>
            <w:vAlign w:val="center"/>
          </w:tcPr>
          <w:p>
            <w:pPr>
              <w:tabs>
                <w:tab w:val="left" w:pos="880"/>
              </w:tabs>
              <w:autoSpaceDE w:val="0"/>
              <w:autoSpaceDN w:val="0"/>
              <w:adjustRightInd w:val="0"/>
              <w:spacing w:before="35" w:line="360" w:lineRule="auto"/>
              <w:ind w:right="161"/>
              <w:jc w:val="both"/>
              <w:rPr>
                <w:rFonts w:ascii="宋体" w:cs="宋体"/>
                <w:color w:val="auto"/>
                <w:kern w:val="0"/>
                <w:szCs w:val="21"/>
                <w:highlight w:val="none"/>
              </w:rPr>
            </w:pP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3435"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p>
        </w:tc>
        <w:tc>
          <w:tcPr>
            <w:tcW w:w="1755"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400"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sz w:val="21"/>
                <w:szCs w:val="21"/>
                <w:lang w:val="en-US" w:eastAsia="zh-CN"/>
              </w:rPr>
              <w:t>生产部（质量、技术）、</w:t>
            </w:r>
            <w:r>
              <w:rPr>
                <w:rFonts w:hint="eastAsia" w:ascii="宋体" w:hAnsi="宋体"/>
                <w:bCs/>
                <w:sz w:val="21"/>
                <w:szCs w:val="21"/>
                <w:lang w:val="en-US" w:eastAsia="zh-CN"/>
              </w:rPr>
              <w:t>供销部、、办公室、生产车间</w:t>
            </w:r>
          </w:p>
        </w:tc>
      </w:tr>
    </w:tbl>
    <w:p>
      <w:pPr>
        <w:widowControl/>
        <w:spacing w:line="360" w:lineRule="auto"/>
        <w:rPr>
          <w:rFonts w:ascii="Times New Roman" w:hAnsi="Times New Roman" w:cs="Times New Roman"/>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后一年以来运行情况，在</w:t>
      </w:r>
      <w:r>
        <w:rPr>
          <w:rFonts w:hint="eastAsia" w:ascii="宋体" w:hAnsi="宋体" w:eastAsia="宋体"/>
          <w:color w:val="000000"/>
          <w:szCs w:val="21"/>
          <w:lang w:eastAsia="zh-CN"/>
        </w:rPr>
        <w:t>东营金丰正阳科技发展有限公司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个职能部门及</w:t>
      </w:r>
      <w:r>
        <w:rPr>
          <w:rFonts w:hint="eastAsia" w:ascii="Times New Roman" w:hAnsi="Times New Roman" w:cs="Times New Roman"/>
          <w:bCs/>
          <w:kern w:val="0"/>
          <w:szCs w:val="21"/>
          <w:lang w:eastAsia="zh-CN"/>
        </w:rPr>
        <w:t>相关</w:t>
      </w:r>
      <w:r>
        <w:rPr>
          <w:rFonts w:ascii="Times New Roman" w:hAnsi="Times New Roman" w:cs="Times New Roman"/>
          <w:bCs/>
          <w:kern w:val="0"/>
          <w:szCs w:val="21"/>
        </w:rPr>
        <w:t>生产</w:t>
      </w:r>
      <w:r>
        <w:rPr>
          <w:rFonts w:hint="eastAsia" w:ascii="Times New Roman" w:hAnsi="Times New Roman" w:cs="Times New Roman"/>
          <w:bCs/>
          <w:kern w:val="0"/>
          <w:szCs w:val="21"/>
          <w:lang w:eastAsia="zh-CN"/>
        </w:rPr>
        <w:t>作业区</w:t>
      </w:r>
      <w:r>
        <w:rPr>
          <w:rFonts w:ascii="Times New Roman" w:hAnsi="Times New Roman" w:cs="Times New Roman"/>
          <w:bCs/>
          <w:kern w:val="0"/>
          <w:szCs w:val="21"/>
        </w:rPr>
        <w:t>、原材料库。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东营金丰正阳科技发展有限公司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1月6</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栾丽燕任</w:t>
      </w:r>
      <w:r>
        <w:rPr>
          <w:rFonts w:hint="eastAsia" w:ascii="宋体" w:hAnsi="宋体" w:cs="宋体"/>
          <w:bCs/>
          <w:kern w:val="0"/>
          <w:szCs w:val="21"/>
          <w:highlight w:val="none"/>
        </w:rPr>
        <w:t>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3</w:t>
      </w:r>
      <w:r>
        <w:rPr>
          <w:rFonts w:ascii="Times New Roman" w:hAnsi="Times New Roman" w:cs="Times New Roman"/>
          <w:bCs/>
          <w:kern w:val="0"/>
          <w:szCs w:val="21"/>
          <w:highlight w:val="none"/>
        </w:rPr>
        <w:t>个职能部门及</w:t>
      </w:r>
      <w:r>
        <w:rPr>
          <w:rFonts w:hint="eastAsia" w:ascii="Times New Roman" w:hAnsi="Times New Roman" w:cs="Times New Roman"/>
          <w:bCs/>
          <w:kern w:val="0"/>
          <w:szCs w:val="21"/>
          <w:highlight w:val="none"/>
          <w:lang w:val="en-US" w:eastAsia="zh-CN"/>
        </w:rPr>
        <w:t>3个生产作业区</w:t>
      </w:r>
      <w:r>
        <w:rPr>
          <w:rFonts w:ascii="Times New Roman" w:hAnsi="Times New Roman" w:cs="Times New Roman"/>
          <w:bCs/>
          <w:kern w:val="0"/>
          <w:szCs w:val="21"/>
          <w:highlight w:val="none"/>
        </w:rPr>
        <w:t>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9</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2021</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2</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5</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张福芬</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adjustRightInd w:val="0"/>
        <w:snapToGrid w:val="0"/>
        <w:spacing w:line="360" w:lineRule="auto"/>
        <w:rPr>
          <w:rFonts w:ascii="Times New Roman" w:hAnsi="Times New Roman" w:cs="Times New Roman"/>
          <w:bCs/>
          <w:kern w:val="0"/>
          <w:szCs w:val="21"/>
        </w:rPr>
      </w:pPr>
      <w:r>
        <w:rPr>
          <w:rFonts w:ascii="Times New Roman" w:hAnsi="Times New Roman" w:cs="Times New Roman"/>
          <w:bCs/>
          <w:kern w:val="0"/>
          <w:szCs w:val="21"/>
        </w:rPr>
        <w:t>4.1、该企业</w:t>
      </w:r>
      <w:r>
        <w:rPr>
          <w:rFonts w:hint="eastAsia" w:ascii="Times New Roman" w:hAnsi="Times New Roman" w:cs="Times New Roman"/>
          <w:bCs/>
          <w:kern w:val="0"/>
          <w:szCs w:val="21"/>
          <w:lang w:eastAsia="zh-CN"/>
        </w:rPr>
        <w:t>主要产品：</w:t>
      </w:r>
      <w:bookmarkStart w:id="3" w:name="审核范围"/>
      <w:r>
        <w:rPr>
          <w:rFonts w:hint="eastAsia" w:ascii="宋体" w:hAnsi="宋体"/>
          <w:color w:val="auto"/>
          <w:sz w:val="21"/>
          <w:szCs w:val="21"/>
        </w:rPr>
        <w:t>风光互补供电系统（太阳能发电装置、风能太阳能发电装置）、仪器仪表（含实验室仪器设备、石油专用仪器仪表）</w:t>
      </w:r>
      <w:bookmarkEnd w:id="3"/>
      <w:r>
        <w:rPr>
          <w:rFonts w:hint="eastAsia" w:ascii="宋体" w:hAnsi="宋体"/>
          <w:color w:val="auto"/>
          <w:sz w:val="21"/>
          <w:szCs w:val="21"/>
        </w:rPr>
        <w:t>组装生产，高低压成套电气设备组装生产（需资质的凭资质），金属制品（刺绳、刺网、筛网、标牌、围栏、护栏）组装生产，帆布帐篷、编织袋加工，活动板房设计、销售，医疗器械（含医用口罩、医用防护服、温度计、医用测温枪、医用防护目镜、医用一次性手套）、消杀用品、照明设备（灯具）、桥架、工矿设备、工矿配件（含球磨机配件、风机配件、制冷设备配件、起重输送机械配件、液压件、离心泵配件、转子泵配件、往复泵配件、工业锅炉及辅助配件、减速机配件、其他泵配件）、家俱、门窗、机械设备及配件（含烟气轮机配件，不含特种设备）、计算机软、硬件、耗材及辅助设备、钻采配件、轻纺织品、五金工具、机电设备、化工产品（不含危险品及易制毒化学品）、电器、仪器仪表（含智能流量计）、通讯器材（不含地面卫星接收及无线发射装置）、环保节能设备、电力设备、日用百货、阀门、钢材、救生物资、土产杂品（不含烟花爆竹）、干电池、蓄电池、低压电器、建筑五金、电线电缆及附件、防爆电伴热带、网络设备（含网络机柜）、电子产品、无人机、摄像器材、安防器材、自控系统设备及配件、防雷设备、钻井设备及配件、船舶设备及配件、实验装置及配件、水处理设备、电动升降平台、防爆电器及配件、计量装置、加药装置、仪表柜、风能、电能及光能设备、UPS电源、汽车配件、柴油机配件（含船用）、电力金具、电工电料、绝缘材料、电气元器件、消防器材、毛毡、户外用品、劳保用品、陶瓷制品、玻璃钢制品、卫生洁具、玻璃制品、保温制品、橡胶制品（不含医用）、塑料制品（不含医用，含PE制品、PPR制品、PVC制品）、吸油毡、围油栏、PVC管材、PPR管材、金属材料、密封材料、防腐保温材料（金属面绝热夹芯板、玻璃棉毡、钛陶瓷保温管）、防水材料、装饰材料（含地板、瓷砖）、包装材料（含岩芯箱）、建筑材料（含混凝土制品、彩钢板、吸音板、隔音板、砖、砌块及砂石料、石灰）、滤料、非织造布、帆布、绳、索、缆、文体用品（不含书籍）、体育器材销售（需资质的凭资质），计算机应用软件开发（需资质的除外）</w:t>
      </w:r>
      <w:r>
        <w:rPr>
          <w:rFonts w:hint="eastAsia" w:ascii="宋体" w:hAnsi="宋体"/>
          <w:szCs w:val="21"/>
          <w:lang w:eastAsia="zh-CN"/>
        </w:rPr>
        <w:t>。生产部（质量、技术）</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bCs/>
          <w:kern w:val="0"/>
          <w:szCs w:val="21"/>
        </w:rPr>
        <w:t>共识</w:t>
      </w:r>
      <w:r>
        <w:rPr>
          <w:rFonts w:hint="eastAsia" w:ascii="宋体" w:hAnsi="宋体" w:cs="宋体"/>
          <w:bCs/>
          <w:kern w:val="0"/>
          <w:szCs w:val="21"/>
          <w:highlight w:val="none"/>
        </w:rPr>
        <w:t>别</w:t>
      </w:r>
      <w:r>
        <w:rPr>
          <w:rFonts w:hint="eastAsia" w:ascii="宋体" w:hAnsi="宋体"/>
          <w:bCs/>
          <w:szCs w:val="21"/>
          <w:lang w:val="en-US" w:eastAsia="zh-CN"/>
        </w:rPr>
        <w:t>风光互补发光装置的耐压测试、</w:t>
      </w:r>
      <w:r>
        <w:rPr>
          <w:rFonts w:ascii="Times New Roman" w:hAnsi="Times New Roman"/>
          <w:szCs w:val="21"/>
        </w:rPr>
        <w:t>接地电阻测试过程</w:t>
      </w:r>
      <w:r>
        <w:rPr>
          <w:rFonts w:hint="eastAsia" w:ascii="宋体" w:hAnsi="宋体" w:cs="宋体"/>
          <w:kern w:val="0"/>
          <w:szCs w:val="21"/>
          <w:shd w:val="clear" w:color="auto" w:fill="auto"/>
        </w:rPr>
        <w:t>测量过程</w:t>
      </w:r>
      <w:r>
        <w:rPr>
          <w:rFonts w:hint="eastAsia" w:ascii="宋体" w:hAnsi="宋体" w:cs="宋体"/>
          <w:kern w:val="0"/>
          <w:szCs w:val="21"/>
          <w:lang w:eastAsia="zh-CN"/>
        </w:rPr>
        <w:t>、</w:t>
      </w:r>
      <w:r>
        <w:rPr>
          <w:rFonts w:hint="eastAsia" w:ascii="宋体" w:hAnsi="宋体" w:cs="宋体"/>
          <w:kern w:val="0"/>
          <w:szCs w:val="21"/>
          <w:shd w:val="clear" w:color="auto" w:fill="auto"/>
          <w:lang w:val="en-US" w:eastAsia="zh-CN"/>
        </w:rPr>
        <w:t>等2个关键测量过程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25</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color w:val="auto"/>
          <w:sz w:val="21"/>
          <w:szCs w:val="21"/>
        </w:rPr>
        <w:t>的</w:t>
      </w:r>
      <w:r>
        <w:rPr>
          <w:rFonts w:hint="eastAsia" w:ascii="宋体" w:hAnsi="宋体"/>
          <w:bCs/>
          <w:szCs w:val="21"/>
          <w:lang w:val="en-US" w:eastAsia="zh-CN"/>
        </w:rPr>
        <w:t>风光互补发光装置的耐压试验、</w:t>
      </w:r>
      <w:r>
        <w:rPr>
          <w:rFonts w:ascii="Times New Roman" w:hAnsi="Times New Roman"/>
          <w:szCs w:val="21"/>
        </w:rPr>
        <w:t>接地电阻测试</w:t>
      </w:r>
      <w:r>
        <w:rPr>
          <w:rFonts w:hint="eastAsia" w:ascii="宋体" w:hAnsi="宋体" w:cs="宋体"/>
          <w:kern w:val="0"/>
          <w:szCs w:val="21"/>
          <w:shd w:val="clear" w:color="auto" w:fill="auto"/>
        </w:rPr>
        <w:t>测量过程</w:t>
      </w:r>
      <w:r>
        <w:rPr>
          <w:rFonts w:hint="eastAsia" w:ascii="宋体" w:hAnsi="宋体" w:cs="宋体"/>
          <w:kern w:val="0"/>
          <w:szCs w:val="21"/>
          <w:shd w:val="clear" w:color="auto" w:fill="auto"/>
          <w:lang w:eastAsia="zh-CN"/>
        </w:rPr>
        <w:t>。</w:t>
      </w:r>
      <w:r>
        <w:rPr>
          <w:rFonts w:hint="eastAsia" w:ascii="宋体" w:hAnsi="宋体"/>
          <w:bCs/>
          <w:szCs w:val="21"/>
          <w:lang w:val="en-US" w:eastAsia="zh-CN"/>
        </w:rPr>
        <w:t>风光互补发光装置的耐压试验</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企业增加</w:t>
      </w:r>
      <w:r>
        <w:rPr>
          <w:rFonts w:hint="eastAsia" w:ascii="Times New Roman" w:hAnsi="Times New Roman" w:cs="Times New Roman"/>
          <w:bCs/>
          <w:kern w:val="0"/>
          <w:szCs w:val="21"/>
          <w:lang w:eastAsia="zh-CN"/>
        </w:rPr>
        <w:t>一个</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w:t>
      </w:r>
      <w:r>
        <w:rPr>
          <w:rFonts w:ascii="Times New Roman" w:hAnsi="Times New Roman" w:cs="Times New Roman"/>
          <w:bCs/>
          <w:kern w:val="0"/>
          <w:szCs w:val="21"/>
        </w:rPr>
        <w:t>《</w:t>
      </w:r>
      <w:r>
        <w:rPr>
          <w:rFonts w:hint="eastAsia" w:ascii="宋体" w:hAnsi="宋体"/>
          <w:bCs/>
          <w:szCs w:val="21"/>
          <w:lang w:val="en-US" w:eastAsia="zh-CN"/>
        </w:rPr>
        <w:t>风光互补发光装置的耐压试验</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bCs/>
          <w:szCs w:val="21"/>
          <w:lang w:val="en-US" w:eastAsia="zh-CN"/>
        </w:rPr>
        <w:t>风光互补发光装置的耐压试验</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bCs/>
          <w:szCs w:val="21"/>
          <w:lang w:val="en-US" w:eastAsia="zh-CN"/>
        </w:rPr>
        <w:t>风光互补发光装置的耐压试验</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上年认证</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bookmarkStart w:id="5" w:name="_GoBack"/>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宋体" w:hAnsi="宋体" w:eastAsia="宋体" w:cs="宋体"/>
          <w:b w:val="0"/>
          <w:bCs w:val="0"/>
          <w:color w:val="auto"/>
          <w:sz w:val="21"/>
          <w:szCs w:val="21"/>
          <w:highlight w:val="none"/>
          <w:lang w:eastAsia="zh-CN"/>
        </w:rPr>
        <w:t>企业提供的</w:t>
      </w:r>
      <w:r>
        <w:rPr>
          <w:rFonts w:hint="eastAsia" w:ascii="宋体" w:hAnsi="宋体" w:eastAsia="宋体" w:cs="宋体"/>
          <w:b w:val="0"/>
          <w:bCs w:val="0"/>
          <w:color w:val="auto"/>
          <w:sz w:val="21"/>
          <w:szCs w:val="21"/>
        </w:rPr>
        <w:t>Q/JFZY-JY-（001～004）-2015</w:t>
      </w:r>
      <w:r>
        <w:rPr>
          <w:rFonts w:hint="eastAsia" w:ascii="宋体" w:hAnsi="宋体" w:eastAsia="宋体" w:cs="宋体"/>
          <w:b w:val="0"/>
          <w:bCs w:val="0"/>
          <w:color w:val="auto"/>
          <w:spacing w:val="40"/>
          <w:sz w:val="21"/>
          <w:szCs w:val="21"/>
        </w:rPr>
        <w:t>检验规范汇编</w:t>
      </w:r>
      <w:r>
        <w:rPr>
          <w:rFonts w:hint="eastAsia" w:ascii="宋体" w:hAnsi="宋体" w:eastAsia="宋体" w:cs="宋体"/>
          <w:b w:val="0"/>
          <w:bCs w:val="0"/>
          <w:color w:val="auto"/>
          <w:spacing w:val="40"/>
          <w:sz w:val="21"/>
          <w:szCs w:val="21"/>
          <w:lang w:eastAsia="zh-CN"/>
        </w:rPr>
        <w:t>中使用标准GB</w:t>
      </w:r>
      <w:r>
        <w:rPr>
          <w:rFonts w:hint="eastAsia" w:ascii="宋体" w:hAnsi="宋体" w:eastAsia="宋体" w:cs="宋体"/>
          <w:b w:val="0"/>
          <w:bCs w:val="0"/>
          <w:color w:val="auto"/>
          <w:spacing w:val="40"/>
          <w:sz w:val="21"/>
          <w:szCs w:val="21"/>
          <w:lang w:val="en-US" w:eastAsia="zh-CN"/>
        </w:rPr>
        <w:t>/T</w:t>
      </w:r>
      <w:r>
        <w:rPr>
          <w:rFonts w:hint="eastAsia" w:ascii="宋体" w:hAnsi="宋体" w:eastAsia="宋体" w:cs="宋体"/>
          <w:b w:val="0"/>
          <w:bCs w:val="0"/>
          <w:color w:val="auto"/>
          <w:spacing w:val="40"/>
          <w:sz w:val="21"/>
          <w:szCs w:val="21"/>
          <w:lang w:eastAsia="zh-CN"/>
        </w:rPr>
        <w:t>1207-97</w:t>
      </w:r>
      <w:r>
        <w:rPr>
          <w:rFonts w:hint="eastAsia" w:ascii="宋体" w:hAnsi="宋体" w:cs="宋体"/>
          <w:color w:val="auto"/>
          <w:kern w:val="0"/>
          <w:szCs w:val="21"/>
        </w:rPr>
        <w:t>《</w:t>
      </w:r>
      <w:r>
        <w:rPr>
          <w:rFonts w:hint="eastAsia" w:ascii="宋体" w:hAnsi="宋体" w:cs="宋体"/>
          <w:color w:val="auto"/>
          <w:kern w:val="0"/>
          <w:szCs w:val="21"/>
          <w:lang w:eastAsia="zh-CN"/>
        </w:rPr>
        <w:t>电压互感器</w:t>
      </w:r>
      <w:r>
        <w:rPr>
          <w:rFonts w:hint="eastAsia" w:ascii="宋体" w:hAnsi="宋体" w:cs="宋体"/>
          <w:color w:val="auto"/>
          <w:kern w:val="0"/>
          <w:szCs w:val="21"/>
        </w:rPr>
        <w:t>》</w:t>
      </w:r>
      <w:r>
        <w:rPr>
          <w:rFonts w:hint="eastAsia" w:ascii="宋体" w:hAnsi="宋体" w:cs="宋体"/>
          <w:color w:val="auto"/>
          <w:kern w:val="0"/>
          <w:szCs w:val="21"/>
          <w:lang w:eastAsia="zh-CN"/>
        </w:rPr>
        <w:t>版本作废，</w:t>
      </w:r>
      <w:r>
        <w:rPr>
          <w:rFonts w:hint="eastAsia" w:ascii="宋体" w:hAnsi="宋体"/>
          <w:bCs/>
          <w:sz w:val="21"/>
          <w:szCs w:val="21"/>
          <w:highlight w:val="none"/>
          <w:lang w:val="en-US"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bookmarkEnd w:id="5"/>
      <w:r>
        <w:rPr>
          <w:rFonts w:ascii="Times New Roman" w:hAnsi="Times New Roman" w:cs="Times New Roman"/>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numPr>
          <w:ilvl w:val="0"/>
          <w:numId w:val="1"/>
        </w:numPr>
        <w:spacing w:line="360" w:lineRule="auto"/>
        <w:ind w:firstLine="422" w:firstLineChars="200"/>
        <w:jc w:val="left"/>
        <w:rPr>
          <w:rFonts w:ascii="Times New Roman" w:hAnsi="Times New Roman" w:cs="Times New Roman"/>
          <w:b/>
          <w:bCs/>
          <w:kern w:val="0"/>
          <w:szCs w:val="21"/>
        </w:rPr>
      </w:pPr>
      <w:r>
        <w:rPr>
          <w:rFonts w:ascii="Times New Roman" w:hAnsi="Times New Roman" w:cs="Times New Roman"/>
          <w:b/>
          <w:bCs/>
          <w:kern w:val="0"/>
          <w:szCs w:val="21"/>
        </w:rPr>
        <w:t>对企业组织任何变更的审核：</w:t>
      </w:r>
    </w:p>
    <w:p>
      <w:pPr>
        <w:pStyle w:val="2"/>
        <w:keepNext w:val="0"/>
        <w:keepLines w:val="0"/>
        <w:widowControl/>
        <w:suppressLineNumbers w:val="0"/>
        <w:shd w:val="clear" w:fill="FFFFFF"/>
        <w:spacing w:line="360" w:lineRule="auto"/>
        <w:ind w:left="0" w:firstLine="0"/>
        <w:rPr>
          <w:rFonts w:hint="eastAsia" w:ascii="宋体" w:hAnsi="宋体" w:eastAsia="宋体" w:cs="宋体"/>
          <w:b w:val="0"/>
          <w:bCs w:val="0"/>
          <w:kern w:val="0"/>
          <w:sz w:val="21"/>
          <w:szCs w:val="21"/>
        </w:rPr>
      </w:pPr>
      <w:r>
        <w:rPr>
          <w:rFonts w:hint="eastAsia" w:ascii="宋体" w:hAnsi="宋体"/>
          <w:bCs/>
          <w:szCs w:val="21"/>
          <w:lang w:val="en-US" w:eastAsia="zh-CN"/>
        </w:rPr>
        <w:t xml:space="preserve">  </w:t>
      </w:r>
      <w:r>
        <w:rPr>
          <w:rFonts w:hint="eastAsia" w:ascii="宋体" w:hAnsi="宋体" w:eastAsia="宋体" w:cs="宋体"/>
          <w:b w:val="0"/>
          <w:bCs w:val="0"/>
          <w:sz w:val="21"/>
          <w:szCs w:val="21"/>
          <w:lang w:val="en-US" w:eastAsia="zh-CN"/>
        </w:rPr>
        <w:t>企业</w:t>
      </w:r>
      <w:r>
        <w:rPr>
          <w:rFonts w:hint="eastAsia" w:ascii="宋体" w:hAnsi="宋体" w:eastAsia="宋体" w:cs="宋体"/>
          <w:b w:val="0"/>
          <w:bCs w:val="0"/>
          <w:sz w:val="21"/>
          <w:szCs w:val="21"/>
        </w:rPr>
        <w:t>的资质情况发生变化</w:t>
      </w:r>
      <w:r>
        <w:rPr>
          <w:rFonts w:hint="eastAsia" w:ascii="宋体" w:hAnsi="宋体" w:eastAsia="宋体" w:cs="宋体"/>
          <w:b w:val="0"/>
          <w:bCs w:val="0"/>
          <w:sz w:val="21"/>
          <w:szCs w:val="21"/>
          <w:lang w:eastAsia="zh-CN"/>
        </w:rPr>
        <w:t>：企业营业执照</w:t>
      </w:r>
      <w:r>
        <w:rPr>
          <w:rFonts w:hint="eastAsia" w:cs="宋体"/>
          <w:b w:val="0"/>
          <w:bCs w:val="0"/>
          <w:sz w:val="21"/>
          <w:szCs w:val="21"/>
          <w:lang w:eastAsia="zh-CN"/>
        </w:rPr>
        <w:t>（</w:t>
      </w:r>
      <w:r>
        <w:rPr>
          <w:rFonts w:hint="eastAsia" w:cs="宋体"/>
          <w:b w:val="0"/>
          <w:bCs w:val="0"/>
          <w:sz w:val="21"/>
          <w:szCs w:val="21"/>
          <w:lang w:val="en-US" w:eastAsia="zh-CN"/>
        </w:rPr>
        <w:t>2020.8.23</w:t>
      </w:r>
      <w:r>
        <w:rPr>
          <w:rFonts w:hint="eastAsia" w:cs="宋体"/>
          <w:b w:val="0"/>
          <w:bCs w:val="0"/>
          <w:sz w:val="21"/>
          <w:szCs w:val="21"/>
          <w:lang w:eastAsia="zh-CN"/>
        </w:rPr>
        <w:t>现场补审后）</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组织</w:t>
      </w:r>
      <w:r>
        <w:rPr>
          <w:rFonts w:hint="eastAsia" w:ascii="宋体" w:hAnsi="宋体" w:eastAsia="宋体" w:cs="宋体"/>
          <w:b w:val="0"/>
          <w:bCs w:val="0"/>
          <w:sz w:val="21"/>
          <w:szCs w:val="21"/>
          <w:lang w:eastAsia="zh-CN"/>
        </w:rPr>
        <w:t>机构没有变更</w:t>
      </w:r>
      <w:r>
        <w:rPr>
          <w:rFonts w:hint="eastAsia" w:ascii="宋体" w:hAnsi="宋体" w:eastAsia="宋体" w:cs="宋体"/>
          <w:b w:val="0"/>
          <w:bCs w:val="0"/>
          <w:sz w:val="21"/>
          <w:szCs w:val="21"/>
          <w:lang w:val="en-US" w:eastAsia="zh-CN"/>
        </w:rPr>
        <w:t>；总经理张福芬重新任命办公室主任栾丽燕为管理者主持企业测量体系工作。</w:t>
      </w:r>
      <w:r>
        <w:rPr>
          <w:rFonts w:hint="eastAsia" w:cs="宋体"/>
          <w:b w:val="0"/>
          <w:bCs w:val="0"/>
          <w:sz w:val="21"/>
          <w:szCs w:val="21"/>
          <w:lang w:val="en-US" w:eastAsia="zh-CN"/>
        </w:rPr>
        <w:t>企业增加</w:t>
      </w:r>
      <w:r>
        <w:rPr>
          <w:rFonts w:hint="eastAsia" w:ascii="宋体" w:hAnsi="宋体" w:eastAsia="宋体" w:cs="宋体"/>
          <w:b w:val="0"/>
          <w:bCs w:val="0"/>
          <w:sz w:val="21"/>
          <w:szCs w:val="21"/>
          <w:lang w:eastAsia="zh-CN"/>
        </w:rPr>
        <w:t>认证产品：</w:t>
      </w:r>
      <w:r>
        <w:rPr>
          <w:rFonts w:hint="eastAsia" w:ascii="宋体" w:hAnsi="宋体" w:eastAsia="宋体" w:cs="宋体"/>
          <w:b w:val="0"/>
          <w:bCs w:val="0"/>
          <w:color w:val="auto"/>
          <w:sz w:val="21"/>
          <w:szCs w:val="21"/>
        </w:rPr>
        <w:t>风光互补供电系统（太阳能发电装置、风能太阳能发电装置）、仪器仪表（含实验室仪器设备、石油专用仪器仪表）组装生产</w:t>
      </w:r>
      <w:r>
        <w:rPr>
          <w:rFonts w:hint="eastAsia" w:ascii="宋体" w:hAnsi="宋体" w:eastAsia="宋体" w:cs="宋体"/>
          <w:b w:val="0"/>
          <w:bCs w:val="0"/>
          <w:color w:val="auto"/>
          <w:sz w:val="21"/>
          <w:szCs w:val="21"/>
          <w:lang w:eastAsia="zh-CN"/>
        </w:rPr>
        <w:t>（资质范围内），等技术服务</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生产</w:t>
      </w:r>
      <w:r>
        <w:rPr>
          <w:rFonts w:hint="eastAsia" w:ascii="宋体" w:hAnsi="宋体" w:eastAsia="宋体" w:cs="宋体"/>
          <w:b w:val="0"/>
          <w:bCs w:val="0"/>
          <w:color w:val="auto"/>
          <w:sz w:val="21"/>
          <w:szCs w:val="21"/>
          <w:lang w:eastAsia="zh-CN"/>
        </w:rPr>
        <w:t>依据标准</w:t>
      </w:r>
      <w:r>
        <w:rPr>
          <w:rFonts w:hint="eastAsia" w:ascii="宋体" w:hAnsi="宋体" w:eastAsia="宋体" w:cs="宋体"/>
          <w:b w:val="0"/>
          <w:bCs w:val="0"/>
          <w:color w:val="3E3E3E"/>
          <w:kern w:val="0"/>
          <w:sz w:val="21"/>
          <w:szCs w:val="21"/>
          <w:lang w:val="en-US" w:eastAsia="zh-CN" w:bidi="ar"/>
        </w:rPr>
        <w:t>GB/7251.12-2013《</w:t>
      </w:r>
      <w:r>
        <w:rPr>
          <w:rFonts w:hint="eastAsia" w:ascii="宋体" w:hAnsi="宋体" w:eastAsia="宋体" w:cs="宋体"/>
          <w:b w:val="0"/>
          <w:bCs w:val="0"/>
          <w:i w:val="0"/>
          <w:caps w:val="0"/>
          <w:color w:val="000000"/>
          <w:spacing w:val="0"/>
          <w:sz w:val="21"/>
          <w:szCs w:val="21"/>
          <w:shd w:val="clear" w:fill="FFFFFF"/>
        </w:rPr>
        <w:t>低压成套开关设备和控制设备 第2部分：成套电力开关和控制设备</w:t>
      </w:r>
      <w:r>
        <w:rPr>
          <w:rFonts w:hint="eastAsia" w:ascii="宋体" w:hAnsi="宋体" w:eastAsia="宋体" w:cs="宋体"/>
          <w:b w:val="0"/>
          <w:bCs w:val="0"/>
          <w:color w:val="3E3E3E"/>
          <w:kern w:val="0"/>
          <w:sz w:val="21"/>
          <w:szCs w:val="21"/>
          <w:lang w:val="en-US" w:eastAsia="zh-CN" w:bidi="ar"/>
        </w:rPr>
        <w:t>》、</w:t>
      </w:r>
      <w:r>
        <w:rPr>
          <w:rFonts w:hint="eastAsia" w:ascii="宋体" w:hAnsi="宋体" w:eastAsia="宋体" w:cs="宋体"/>
          <w:b w:val="0"/>
          <w:bCs w:val="0"/>
          <w:sz w:val="21"/>
          <w:szCs w:val="21"/>
          <w:lang w:eastAsia="zh-CN"/>
        </w:rPr>
        <w:t>GB/T 1</w:t>
      </w:r>
      <w:r>
        <w:rPr>
          <w:rFonts w:hint="eastAsia" w:ascii="宋体" w:hAnsi="宋体" w:eastAsia="宋体" w:cs="宋体"/>
          <w:b w:val="0"/>
          <w:bCs w:val="0"/>
          <w:sz w:val="21"/>
          <w:szCs w:val="21"/>
          <w:lang w:val="en-US" w:eastAsia="zh-CN"/>
        </w:rPr>
        <w:t>9115.1-2018</w:t>
      </w:r>
      <w:r>
        <w:rPr>
          <w:rFonts w:hint="eastAsia" w:ascii="宋体" w:hAnsi="宋体" w:eastAsia="宋体" w:cs="宋体"/>
          <w:b w:val="0"/>
          <w:bCs w:val="0"/>
          <w:sz w:val="21"/>
          <w:szCs w:val="21"/>
          <w:lang w:eastAsia="zh-CN"/>
        </w:rPr>
        <w:t>《风光互补发电系统第</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部分：技术条件》</w:t>
      </w:r>
      <w:r>
        <w:rPr>
          <w:rFonts w:hint="eastAsia" w:ascii="宋体" w:hAnsi="宋体" w:eastAsia="宋体" w:cs="宋体"/>
          <w:b w:val="0"/>
          <w:bCs w:val="0"/>
          <w:color w:val="3E3E3E"/>
          <w:kern w:val="0"/>
          <w:sz w:val="21"/>
          <w:szCs w:val="21"/>
          <w:lang w:val="en-US" w:eastAsia="zh-CN" w:bidi="ar"/>
        </w:rPr>
        <w:t xml:space="preserve"> </w:t>
      </w:r>
      <w:r>
        <w:rPr>
          <w:rFonts w:hint="eastAsia" w:ascii="宋体" w:hAnsi="宋体" w:eastAsia="宋体" w:cs="宋体"/>
          <w:b w:val="0"/>
          <w:bCs w:val="0"/>
          <w:sz w:val="21"/>
          <w:szCs w:val="21"/>
          <w:lang w:val="en-US" w:eastAsia="zh-CN"/>
        </w:rPr>
        <w:t>标准现行有效。符合标准要求。对新增加产品</w:t>
      </w:r>
      <w:r>
        <w:rPr>
          <w:rFonts w:hint="eastAsia" w:ascii="宋体" w:hAnsi="宋体" w:eastAsia="宋体" w:cs="宋体"/>
          <w:b w:val="0"/>
          <w:bCs w:val="0"/>
          <w:color w:val="auto"/>
          <w:sz w:val="21"/>
          <w:szCs w:val="21"/>
        </w:rPr>
        <w:t>风光互补供电系统</w:t>
      </w:r>
      <w:r>
        <w:rPr>
          <w:rFonts w:hint="eastAsia" w:ascii="宋体" w:hAnsi="宋体" w:eastAsia="宋体" w:cs="宋体"/>
          <w:b w:val="0"/>
          <w:bCs w:val="0"/>
          <w:color w:val="auto"/>
          <w:sz w:val="21"/>
          <w:szCs w:val="21"/>
          <w:lang w:eastAsia="zh-CN"/>
        </w:rPr>
        <w:t>等</w:t>
      </w:r>
      <w:r>
        <w:rPr>
          <w:rFonts w:hint="eastAsia" w:ascii="宋体" w:hAnsi="宋体" w:eastAsia="宋体" w:cs="宋体"/>
          <w:b w:val="0"/>
          <w:bCs w:val="0"/>
          <w:sz w:val="21"/>
          <w:szCs w:val="21"/>
          <w:lang w:val="en-US" w:eastAsia="zh-CN"/>
        </w:rPr>
        <w:t>测量的关键测量过程,</w:t>
      </w:r>
      <w:r>
        <w:rPr>
          <w:rFonts w:hint="eastAsia" w:ascii="宋体" w:hAnsi="宋体" w:eastAsia="宋体" w:cs="宋体"/>
          <w:b w:val="0"/>
          <w:bCs w:val="0"/>
          <w:sz w:val="21"/>
          <w:szCs w:val="21"/>
          <w:lang w:eastAsia="zh-CN"/>
        </w:rPr>
        <w:t>进行确认，</w:t>
      </w:r>
      <w:r>
        <w:rPr>
          <w:rFonts w:hint="eastAsia" w:ascii="宋体" w:hAnsi="宋体" w:eastAsia="宋体" w:cs="宋体"/>
          <w:b w:val="0"/>
          <w:bCs w:val="0"/>
          <w:sz w:val="21"/>
          <w:szCs w:val="21"/>
          <w:lang w:val="en-US" w:eastAsia="zh-CN"/>
        </w:rPr>
        <w:t>生产过程中所用测量设备在检定周期内，见测量设备朔源检查表，所增项的生产过程，原材料检验，加工过程检验，成品出厂检验等均已纳入测量管理体系中进行管理。关键测量过程为风光互补发光装置的耐压测试</w:t>
      </w:r>
      <w:r>
        <w:rPr>
          <w:rFonts w:hint="eastAsia" w:ascii="宋体" w:hAnsi="宋体" w:eastAsia="宋体" w:cs="宋体"/>
          <w:b w:val="0"/>
          <w:bCs w:val="0"/>
          <w:sz w:val="21"/>
          <w:szCs w:val="21"/>
        </w:rPr>
        <w:t>测</w:t>
      </w:r>
      <w:r>
        <w:rPr>
          <w:rFonts w:hint="eastAsia" w:ascii="宋体" w:hAnsi="宋体" w:eastAsia="宋体" w:cs="宋体"/>
          <w:b w:val="0"/>
          <w:bCs w:val="0"/>
          <w:sz w:val="21"/>
          <w:szCs w:val="21"/>
          <w:lang w:eastAsia="zh-CN"/>
        </w:rPr>
        <w:t>量</w:t>
      </w:r>
      <w:r>
        <w:rPr>
          <w:rFonts w:hint="eastAsia" w:ascii="宋体" w:hAnsi="宋体" w:eastAsia="宋体" w:cs="宋体"/>
          <w:b w:val="0"/>
          <w:bCs w:val="0"/>
          <w:sz w:val="21"/>
          <w:szCs w:val="21"/>
        </w:rPr>
        <w:t>过程计量要求的导出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测量不确定评定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有效性确认</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测量过程的控制 </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测量过程的监视</w:t>
      </w:r>
      <w:r>
        <w:rPr>
          <w:rFonts w:hint="eastAsia" w:ascii="宋体" w:hAnsi="宋体" w:eastAsia="宋体" w:cs="宋体"/>
          <w:b w:val="0"/>
          <w:bCs w:val="0"/>
          <w:sz w:val="21"/>
          <w:szCs w:val="21"/>
          <w:lang w:val="en-US" w:eastAsia="zh-CN"/>
        </w:rPr>
        <w:t>等符合要求，经审核表明</w:t>
      </w: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eastAsia="zh-CN"/>
        </w:rPr>
        <w:t>东营金丰正阳科技发展有限公司</w:t>
      </w:r>
      <w:r>
        <w:rPr>
          <w:rFonts w:hint="eastAsia" w:ascii="宋体" w:hAnsi="宋体" w:eastAsia="宋体" w:cs="宋体"/>
          <w:b w:val="0"/>
          <w:bCs w:val="0"/>
          <w:color w:val="auto"/>
          <w:sz w:val="21"/>
          <w:szCs w:val="21"/>
        </w:rPr>
        <w:t>风光互补供电系统（太阳能发电装置、风能太阳能发电装置）、仪器仪表（含实验室仪器设备、石油专用仪器仪表）组装生产</w:t>
      </w:r>
      <w:r>
        <w:rPr>
          <w:rFonts w:hint="eastAsia" w:ascii="宋体" w:hAnsi="宋体" w:eastAsia="宋体" w:cs="宋体"/>
          <w:b w:val="0"/>
          <w:bCs w:val="0"/>
          <w:sz w:val="21"/>
          <w:szCs w:val="21"/>
          <w:lang w:eastAsia="zh-CN"/>
        </w:rPr>
        <w:t>（资质范围内），技术服务</w:t>
      </w:r>
      <w:r>
        <w:rPr>
          <w:rFonts w:hint="eastAsia" w:ascii="宋体" w:hAnsi="宋体" w:eastAsia="宋体" w:cs="宋体"/>
          <w:b w:val="0"/>
          <w:bCs w:val="0"/>
          <w:sz w:val="21"/>
          <w:szCs w:val="21"/>
          <w:lang w:val="en-US" w:eastAsia="zh-CN"/>
        </w:rPr>
        <w:t>等纳入</w:t>
      </w:r>
      <w:r>
        <w:rPr>
          <w:rFonts w:hint="eastAsia" w:ascii="宋体" w:hAnsi="宋体" w:eastAsia="宋体" w:cs="宋体"/>
          <w:b w:val="0"/>
          <w:bCs w:val="0"/>
          <w:sz w:val="21"/>
          <w:szCs w:val="21"/>
        </w:rPr>
        <w:t>测量管理体系，符合GB/T 19022-2003标准要求，对体系运行具有持续的有效性、符合性予以肯定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建议报请北京国标联合认证有限公司批准通过。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spacing w:line="360" w:lineRule="auto"/>
        <w:rPr>
          <w:rFonts w:hint="eastAsia" w:ascii="宋体" w:hAnsi="宋体" w:cs="宋体"/>
          <w:color w:val="auto"/>
          <w:kern w:val="0"/>
          <w:szCs w:val="21"/>
          <w:highlight w:val="none"/>
          <w:lang w:eastAsia="zh-CN"/>
        </w:rPr>
      </w:pPr>
      <w:r>
        <w:rPr>
          <w:rFonts w:hint="eastAsia" w:ascii="宋体" w:hAnsi="宋体" w:cs="宋体"/>
          <w:b/>
          <w:bCs/>
          <w:color w:val="auto"/>
          <w:kern w:val="0"/>
          <w:szCs w:val="21"/>
          <w:highlight w:val="none"/>
          <w:lang w:val="en-US" w:eastAsia="zh-CN"/>
        </w:rPr>
        <w:t>10.1</w:t>
      </w:r>
      <w:r>
        <w:rPr>
          <w:rFonts w:hint="eastAsia" w:ascii="宋体" w:hAnsi="宋体" w:cs="宋体"/>
          <w:kern w:val="0"/>
          <w:szCs w:val="21"/>
          <w:lang w:eastAsia="zh-CN"/>
        </w:rPr>
        <w:t>生产部提供的编号：</w:t>
      </w:r>
      <w:r>
        <w:rPr>
          <w:rFonts w:hint="eastAsia" w:ascii="宋体" w:hAnsi="宋体" w:cs="宋体"/>
          <w:kern w:val="0"/>
          <w:szCs w:val="21"/>
          <w:lang w:val="en-US" w:eastAsia="zh-CN"/>
        </w:rPr>
        <w:t>04078</w:t>
      </w:r>
      <w:r>
        <w:rPr>
          <w:rFonts w:hint="eastAsia" w:ascii="宋体" w:hAnsi="宋体" w:cs="宋体"/>
          <w:kern w:val="0"/>
          <w:szCs w:val="21"/>
          <w:lang w:eastAsia="zh-CN"/>
        </w:rPr>
        <w:t>耐压试验仪的计量确认验证记录中，验证过程没有依据校准证书给出结论验证。</w:t>
      </w:r>
      <w:r>
        <w:rPr>
          <w:rFonts w:hint="eastAsia" w:ascii="宋体" w:hAnsi="宋体" w:cs="宋体"/>
          <w:color w:val="auto"/>
          <w:kern w:val="0"/>
          <w:szCs w:val="21"/>
        </w:rPr>
        <w:t>不符合GB/T19022-2003标准中</w:t>
      </w:r>
      <w:r>
        <w:rPr>
          <w:rFonts w:hint="eastAsia" w:ascii="宋体" w:hAnsi="宋体" w:cs="宋体"/>
          <w:color w:val="auto"/>
          <w:kern w:val="0"/>
          <w:szCs w:val="21"/>
          <w:lang w:val="en-US" w:eastAsia="zh-CN"/>
        </w:rPr>
        <w:t>7.1.4</w:t>
      </w:r>
      <w:r>
        <w:rPr>
          <w:rFonts w:hint="eastAsia" w:ascii="宋体" w:hAnsi="宋体" w:cs="宋体"/>
          <w:color w:val="auto"/>
          <w:kern w:val="0"/>
          <w:szCs w:val="21"/>
        </w:rPr>
        <w:t>条款</w:t>
      </w:r>
      <w:r>
        <w:rPr>
          <w:rFonts w:hint="eastAsia" w:ascii="宋体" w:hAnsi="宋体" w:cs="宋体"/>
          <w:color w:val="auto"/>
          <w:kern w:val="0"/>
          <w:szCs w:val="21"/>
          <w:lang w:eastAsia="zh-CN"/>
        </w:rPr>
        <w:t>中关于</w:t>
      </w:r>
      <w:r>
        <w:rPr>
          <w:rFonts w:hint="eastAsia" w:ascii="宋体" w:hAnsi="宋体" w:cs="宋体"/>
          <w:color w:val="auto"/>
          <w:kern w:val="0"/>
          <w:szCs w:val="21"/>
        </w:rPr>
        <w:t>“</w:t>
      </w:r>
      <w:r>
        <w:rPr>
          <w:rFonts w:hint="eastAsia" w:ascii="宋体"/>
        </w:rPr>
        <w:t>计量确认过程记录应证明每台测量设备是否满足规定的计量要求。需要时，记录应包括： 校准结果的溯源性的证据</w:t>
      </w:r>
      <w:r>
        <w:rPr>
          <w:rFonts w:hint="eastAsia" w:ascii="宋体" w:hAnsi="宋体" w:eastAsia="宋体" w:cs="宋体"/>
          <w:lang w:eastAsia="zh-CN"/>
        </w:rPr>
        <w:t>……</w:t>
      </w:r>
      <w:r>
        <w:rPr>
          <w:rFonts w:hint="eastAsia" w:ascii="宋体"/>
          <w:lang w:eastAsia="zh-CN"/>
        </w:rPr>
        <w:t>。</w:t>
      </w:r>
      <w:r>
        <w:rPr>
          <w:rFonts w:hint="eastAsia" w:ascii="宋体" w:hAnsi="宋体" w:cs="宋体"/>
          <w:color w:val="auto"/>
          <w:kern w:val="0"/>
          <w:szCs w:val="21"/>
        </w:rPr>
        <w:t>”的规定要求。</w:t>
      </w:r>
      <w:r>
        <w:rPr>
          <w:rFonts w:hint="eastAsia" w:ascii="宋体" w:hAnsi="宋体" w:cs="宋体"/>
          <w:color w:val="auto"/>
          <w:kern w:val="0"/>
          <w:szCs w:val="21"/>
          <w:highlight w:val="none"/>
          <w:lang w:eastAsia="zh-CN"/>
        </w:rPr>
        <w:t>属于次要不符合项。</w:t>
      </w:r>
    </w:p>
    <w:p>
      <w:pPr>
        <w:spacing w:line="360" w:lineRule="auto"/>
        <w:ind w:firstLine="480"/>
        <w:rPr>
          <w:rFonts w:hint="default" w:ascii="宋体" w:hAnsi="宋体" w:cs="宋体"/>
          <w:bCs/>
          <w:color w:val="auto"/>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eastAsia="zh-CN"/>
        </w:rPr>
        <w:t>东营金丰正阳科技发展有限公司</w:t>
      </w:r>
      <w:r>
        <w:rPr>
          <w:rFonts w:ascii="Times New Roman" w:hAnsi="Times New Roman" w:cs="Times New Roman"/>
          <w:bCs/>
          <w:color w:val="auto"/>
          <w:kern w:val="0"/>
          <w:szCs w:val="21"/>
          <w:highlight w:val="none"/>
        </w:rPr>
        <w:t>，</w:t>
      </w:r>
      <w:r>
        <w:rPr>
          <w:rFonts w:hint="eastAsia" w:ascii="宋体" w:hAnsi="宋体"/>
          <w:color w:val="auto"/>
          <w:szCs w:val="21"/>
        </w:rPr>
        <w:t>主要耗能为电</w:t>
      </w:r>
      <w:r>
        <w:rPr>
          <w:rFonts w:hint="eastAsia" w:ascii="宋体" w:hAnsi="宋体"/>
          <w:color w:val="auto"/>
          <w:szCs w:val="21"/>
          <w:lang w:eastAsia="zh-CN"/>
        </w:rPr>
        <w:t>和水</w:t>
      </w:r>
      <w:r>
        <w:rPr>
          <w:rFonts w:hint="eastAsia" w:ascii="宋体" w:hAnsi="宋体"/>
          <w:color w:val="auto"/>
          <w:szCs w:val="21"/>
        </w:rPr>
        <w:t>；</w:t>
      </w:r>
      <w:r>
        <w:rPr>
          <w:rFonts w:hint="eastAsia" w:ascii="宋体" w:hAnsi="宋体" w:cs="宋体"/>
          <w:bCs/>
          <w:color w:val="auto"/>
          <w:kern w:val="0"/>
          <w:szCs w:val="21"/>
        </w:rPr>
        <w:t>企业</w:t>
      </w:r>
      <w:r>
        <w:rPr>
          <w:rFonts w:hint="eastAsia" w:ascii="宋体" w:hAnsi="宋体" w:cs="宋体"/>
          <w:bCs/>
          <w:color w:val="auto"/>
          <w:kern w:val="0"/>
          <w:szCs w:val="21"/>
          <w:lang w:val="en-US" w:eastAsia="zh-CN"/>
        </w:rPr>
        <w:t>2020年1月至2020年12月</w:t>
      </w:r>
      <w:r>
        <w:rPr>
          <w:rFonts w:hint="eastAsia" w:ascii="宋体" w:hAnsi="宋体" w:cs="宋体"/>
          <w:bCs/>
          <w:color w:val="auto"/>
          <w:kern w:val="0"/>
          <w:szCs w:val="21"/>
        </w:rPr>
        <w:t>耗能为</w:t>
      </w:r>
      <w:r>
        <w:rPr>
          <w:rFonts w:hint="eastAsia" w:ascii="宋体" w:hAnsi="宋体" w:cs="宋体"/>
          <w:bCs/>
          <w:color w:val="auto"/>
          <w:kern w:val="0"/>
          <w:szCs w:val="21"/>
          <w:highlight w:val="none"/>
          <w:lang w:val="en-US" w:eastAsia="zh-CN"/>
        </w:rPr>
        <w:t>5.58</w:t>
      </w:r>
      <w:r>
        <w:rPr>
          <w:rFonts w:hint="eastAsia" w:ascii="宋体" w:hAnsi="宋体" w:cs="宋体"/>
          <w:bCs/>
          <w:color w:val="auto"/>
          <w:kern w:val="0"/>
          <w:szCs w:val="21"/>
          <w:highlight w:val="none"/>
        </w:rPr>
        <w:t>吨标煤</w:t>
      </w:r>
      <w:r>
        <w:rPr>
          <w:rFonts w:hint="eastAsia" w:ascii="宋体" w:hAnsi="宋体"/>
          <w:color w:val="auto"/>
          <w:szCs w:val="21"/>
          <w:highlight w:val="none"/>
        </w:rPr>
        <w:t>。不</w:t>
      </w:r>
      <w:r>
        <w:rPr>
          <w:rFonts w:hint="eastAsia" w:ascii="宋体" w:hAnsi="宋体"/>
          <w:color w:val="auto"/>
          <w:szCs w:val="21"/>
        </w:rPr>
        <w:t>是重点用能单位。</w:t>
      </w:r>
      <w:r>
        <w:rPr>
          <w:rFonts w:ascii="Times New Roman" w:hAnsi="Times New Roman" w:cs="Times New Roman"/>
          <w:bCs/>
          <w:color w:val="auto"/>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color w:val="auto"/>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02</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21</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东营金丰正阳科技发展有限公司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w:t>
      </w:r>
      <w:r>
        <w:rPr>
          <w:rFonts w:hint="eastAsia" w:ascii="Times New Roman" w:hAnsi="Times New Roman" w:cs="Times New Roman"/>
          <w:bCs/>
          <w:kern w:val="0"/>
          <w:szCs w:val="21"/>
          <w:lang w:val="en-US" w:eastAsia="zh-CN"/>
        </w:rPr>
        <w:t>+</w:t>
      </w:r>
      <w:r>
        <w:rPr>
          <w:rFonts w:hint="eastAsia" w:ascii="Times New Roman" w:hAnsi="Times New Roman" w:cs="Times New Roman"/>
          <w:bCs/>
          <w:kern w:val="0"/>
          <w:szCs w:val="21"/>
          <w:lang w:eastAsia="zh-CN"/>
        </w:rPr>
        <w:t>扩项</w:t>
      </w:r>
      <w:r>
        <w:rPr>
          <w:rFonts w:ascii="Times New Roman" w:hAnsi="Times New Roman" w:cs="Times New Roman"/>
          <w:bCs/>
          <w:kern w:val="0"/>
          <w:szCs w:val="21"/>
        </w:rPr>
        <w:t>审核，验证了公司在测量管理体系在</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上年认证后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东营金丰正阳科技发展有限公司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hint="default" w:ascii="Times New Roman" w:hAnsi="Times New Roman" w:eastAsia="宋体" w:cs="Times New Roman"/>
          <w:b/>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Times New Roman" w:hAnsi="Times New Roman" w:eastAsia="宋体" w:cs="Times New Roman"/>
          <w:sz w:val="21"/>
          <w:szCs w:val="21"/>
          <w:u w:val="none"/>
          <w:lang w:eastAsia="zh-CN"/>
        </w:rPr>
        <w:drawing>
          <wp:inline distT="0" distB="0" distL="114300" distR="114300">
            <wp:extent cx="571500" cy="381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71500" cy="381000"/>
                    </a:xfrm>
                    <a:prstGeom prst="rect">
                      <a:avLst/>
                    </a:prstGeom>
                    <a:noFill/>
                    <a:ln>
                      <a:noFill/>
                    </a:ln>
                  </pic:spPr>
                </pic:pic>
              </a:graphicData>
            </a:graphic>
          </wp:inline>
        </w:drawing>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2021.02.21</w:t>
      </w: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9"/>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FA352"/>
    <w:multiLevelType w:val="singleLevel"/>
    <w:tmpl w:val="704FA352"/>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2D61858"/>
    <w:rsid w:val="060A2C1F"/>
    <w:rsid w:val="06255583"/>
    <w:rsid w:val="069E5AB7"/>
    <w:rsid w:val="07694193"/>
    <w:rsid w:val="07CB0C61"/>
    <w:rsid w:val="093022F8"/>
    <w:rsid w:val="0AAC43F2"/>
    <w:rsid w:val="0B6A287A"/>
    <w:rsid w:val="0B9C159A"/>
    <w:rsid w:val="0C4A062D"/>
    <w:rsid w:val="0CF4221B"/>
    <w:rsid w:val="0D335818"/>
    <w:rsid w:val="0DFC7968"/>
    <w:rsid w:val="0E553E18"/>
    <w:rsid w:val="0E8A307E"/>
    <w:rsid w:val="0FF0784E"/>
    <w:rsid w:val="10514274"/>
    <w:rsid w:val="106725C6"/>
    <w:rsid w:val="10CC502F"/>
    <w:rsid w:val="10F52E13"/>
    <w:rsid w:val="110C45FB"/>
    <w:rsid w:val="11550A66"/>
    <w:rsid w:val="1193589A"/>
    <w:rsid w:val="12114279"/>
    <w:rsid w:val="13B07256"/>
    <w:rsid w:val="147A5742"/>
    <w:rsid w:val="14AF6172"/>
    <w:rsid w:val="15217ADC"/>
    <w:rsid w:val="15501560"/>
    <w:rsid w:val="158D185E"/>
    <w:rsid w:val="17A21EC4"/>
    <w:rsid w:val="17E86A55"/>
    <w:rsid w:val="191875B9"/>
    <w:rsid w:val="192F5B1C"/>
    <w:rsid w:val="1A9066D8"/>
    <w:rsid w:val="1ACB2E07"/>
    <w:rsid w:val="1B6E0BCC"/>
    <w:rsid w:val="1DB528F4"/>
    <w:rsid w:val="1E8D2076"/>
    <w:rsid w:val="1F96490F"/>
    <w:rsid w:val="1FD87C5A"/>
    <w:rsid w:val="202E5BEC"/>
    <w:rsid w:val="205A621D"/>
    <w:rsid w:val="221F4A52"/>
    <w:rsid w:val="22D6310F"/>
    <w:rsid w:val="234C1DE6"/>
    <w:rsid w:val="236837F1"/>
    <w:rsid w:val="24F53972"/>
    <w:rsid w:val="26D61E0E"/>
    <w:rsid w:val="273B2EC4"/>
    <w:rsid w:val="290D70F9"/>
    <w:rsid w:val="294A7B5F"/>
    <w:rsid w:val="29EC5CDB"/>
    <w:rsid w:val="2CAB432C"/>
    <w:rsid w:val="2DD74E91"/>
    <w:rsid w:val="2E000AD3"/>
    <w:rsid w:val="2E92798F"/>
    <w:rsid w:val="2E94229B"/>
    <w:rsid w:val="2EE23BD1"/>
    <w:rsid w:val="30DE05E1"/>
    <w:rsid w:val="31BE3393"/>
    <w:rsid w:val="32147755"/>
    <w:rsid w:val="33947CD2"/>
    <w:rsid w:val="34D4260D"/>
    <w:rsid w:val="367709AC"/>
    <w:rsid w:val="36823C9C"/>
    <w:rsid w:val="37596989"/>
    <w:rsid w:val="378B295A"/>
    <w:rsid w:val="37C53059"/>
    <w:rsid w:val="38505CE2"/>
    <w:rsid w:val="38B518FA"/>
    <w:rsid w:val="38E460E2"/>
    <w:rsid w:val="39364992"/>
    <w:rsid w:val="3A8F40F6"/>
    <w:rsid w:val="3AF34A65"/>
    <w:rsid w:val="3B6C0871"/>
    <w:rsid w:val="3D8C65CA"/>
    <w:rsid w:val="3F5A39F0"/>
    <w:rsid w:val="3F5A7BBB"/>
    <w:rsid w:val="3FD079A4"/>
    <w:rsid w:val="410611B0"/>
    <w:rsid w:val="4119198D"/>
    <w:rsid w:val="415E78AA"/>
    <w:rsid w:val="42C727C5"/>
    <w:rsid w:val="43584738"/>
    <w:rsid w:val="4453192D"/>
    <w:rsid w:val="44D943E8"/>
    <w:rsid w:val="46425F4D"/>
    <w:rsid w:val="46FF1A20"/>
    <w:rsid w:val="478068A7"/>
    <w:rsid w:val="47B32C1A"/>
    <w:rsid w:val="47B758BF"/>
    <w:rsid w:val="4B646F95"/>
    <w:rsid w:val="4CD650EE"/>
    <w:rsid w:val="4D3B07E4"/>
    <w:rsid w:val="4DF83EDC"/>
    <w:rsid w:val="4E2C127C"/>
    <w:rsid w:val="4E450A7C"/>
    <w:rsid w:val="4F4C158E"/>
    <w:rsid w:val="4F966158"/>
    <w:rsid w:val="50975894"/>
    <w:rsid w:val="50AB3606"/>
    <w:rsid w:val="52450263"/>
    <w:rsid w:val="52CF4CBD"/>
    <w:rsid w:val="52EB75A4"/>
    <w:rsid w:val="55C948E7"/>
    <w:rsid w:val="560936BF"/>
    <w:rsid w:val="56BD4064"/>
    <w:rsid w:val="57B34F29"/>
    <w:rsid w:val="584066CD"/>
    <w:rsid w:val="584D186F"/>
    <w:rsid w:val="59EE788F"/>
    <w:rsid w:val="5A335F8D"/>
    <w:rsid w:val="5A4E23BB"/>
    <w:rsid w:val="5AEA42C2"/>
    <w:rsid w:val="5C132391"/>
    <w:rsid w:val="5DA46180"/>
    <w:rsid w:val="5EB96A2D"/>
    <w:rsid w:val="60C64E46"/>
    <w:rsid w:val="62BA3AD0"/>
    <w:rsid w:val="63C16F8E"/>
    <w:rsid w:val="63FC6CAF"/>
    <w:rsid w:val="653A5005"/>
    <w:rsid w:val="654B5DFD"/>
    <w:rsid w:val="65C01B44"/>
    <w:rsid w:val="660C5331"/>
    <w:rsid w:val="67785AFC"/>
    <w:rsid w:val="6969605B"/>
    <w:rsid w:val="6A3C3986"/>
    <w:rsid w:val="6B9A7111"/>
    <w:rsid w:val="6CC32C31"/>
    <w:rsid w:val="6F264392"/>
    <w:rsid w:val="6F2A687E"/>
    <w:rsid w:val="6FCF21C7"/>
    <w:rsid w:val="70C73DB5"/>
    <w:rsid w:val="729F40AE"/>
    <w:rsid w:val="73877C76"/>
    <w:rsid w:val="738E408B"/>
    <w:rsid w:val="7405196C"/>
    <w:rsid w:val="74062830"/>
    <w:rsid w:val="74243E8A"/>
    <w:rsid w:val="7567525C"/>
    <w:rsid w:val="75E04B0D"/>
    <w:rsid w:val="77555FF3"/>
    <w:rsid w:val="784E5A3C"/>
    <w:rsid w:val="788E567B"/>
    <w:rsid w:val="79D365C5"/>
    <w:rsid w:val="79E91D60"/>
    <w:rsid w:val="7AE25BD9"/>
    <w:rsid w:val="7B63548B"/>
    <w:rsid w:val="7CB55D5F"/>
    <w:rsid w:val="7EA333B8"/>
    <w:rsid w:val="7EEE16D3"/>
    <w:rsid w:val="7F6C75C7"/>
    <w:rsid w:val="7FED4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11</TotalTime>
  <ScaleCrop>false</ScaleCrop>
  <LinksUpToDate>false</LinksUpToDate>
  <CharactersWithSpaces>3072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2021-02-23T03:50:32Z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