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西安博华机电股份有限公司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8"/>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2018-N1QMS-1222792</w:t>
            </w:r>
          </w:p>
        </w:tc>
        <w:tc>
          <w:tcPr>
            <w:tcW w:w="1728" w:type="dxa"/>
            <w:gridSpan w:val="2"/>
            <w:vAlign w:val="center"/>
          </w:tcPr>
          <w:p>
            <w:pPr>
              <w:jc w:val="center"/>
              <w:rPr>
                <w:b/>
                <w:sz w:val="21"/>
                <w:szCs w:val="21"/>
              </w:rPr>
            </w:pPr>
            <w:r>
              <w:rPr>
                <w:b/>
                <w:sz w:val="21"/>
                <w:szCs w:val="21"/>
              </w:rPr>
              <w:t>29.12.00</w:t>
            </w:r>
          </w:p>
        </w:tc>
        <w:tc>
          <w:tcPr>
            <w:tcW w:w="1729" w:type="dxa"/>
            <w:gridSpan w:val="2"/>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w:t>
      </w:r>
      <w:r>
        <w:rPr>
          <w:rFonts w:hint="eastAsia" w:ascii="宋体" w:hAnsi="宋体" w:eastAsia="宋体" w:cs="宋体"/>
          <w:b w:val="0"/>
          <w:bCs/>
          <w:sz w:val="21"/>
          <w:szCs w:val="21"/>
          <w:u w:val="single"/>
        </w:rPr>
        <w:t>QMS</w:t>
      </w:r>
      <w:r>
        <w:rPr>
          <w:rFonts w:hint="eastAsia"/>
          <w:b/>
          <w:sz w:val="21"/>
          <w:szCs w:val="21"/>
        </w:rPr>
        <w:t>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834"/>
        <w:gridCol w:w="2032"/>
        <w:gridCol w:w="1109"/>
        <w:gridCol w:w="1971"/>
        <w:gridCol w:w="1319"/>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875" w:type="dxa"/>
            <w:gridSpan w:val="2"/>
            <w:vAlign w:val="center"/>
          </w:tcPr>
          <w:p>
            <w:pPr>
              <w:spacing w:line="260" w:lineRule="exact"/>
              <w:jc w:val="center"/>
              <w:rPr>
                <w:rFonts w:hint="eastAsia" w:ascii="宋体" w:hAnsi="宋体" w:eastAsia="宋体" w:cs="Times New Roman"/>
                <w:b/>
                <w:sz w:val="21"/>
                <w:szCs w:val="22"/>
              </w:rPr>
            </w:pPr>
            <w:r>
              <w:rPr>
                <w:rFonts w:hint="eastAsia" w:ascii="宋体" w:hAnsi="宋体" w:eastAsia="宋体" w:cs="Times New Roman"/>
                <w:b/>
                <w:sz w:val="21"/>
                <w:szCs w:val="22"/>
              </w:rPr>
              <w:t>受审核方名称</w:t>
            </w:r>
          </w:p>
        </w:tc>
        <w:tc>
          <w:tcPr>
            <w:tcW w:w="5112" w:type="dxa"/>
            <w:gridSpan w:val="3"/>
            <w:vAlign w:val="center"/>
          </w:tcPr>
          <w:p>
            <w:pPr>
              <w:spacing w:line="260" w:lineRule="exact"/>
              <w:jc w:val="center"/>
              <w:rPr>
                <w:rFonts w:hint="eastAsia" w:ascii="宋体" w:hAnsi="宋体" w:eastAsia="宋体" w:cs="Times New Roman"/>
                <w:b/>
                <w:sz w:val="21"/>
                <w:szCs w:val="22"/>
              </w:rPr>
            </w:pPr>
            <w:bookmarkStart w:id="11" w:name="组织名称Add"/>
            <w:r>
              <w:rPr>
                <w:rFonts w:hint="eastAsia" w:ascii="宋体" w:hAnsi="宋体" w:eastAsia="宋体" w:cs="Times New Roman"/>
                <w:b/>
                <w:sz w:val="21"/>
                <w:szCs w:val="22"/>
              </w:rPr>
              <w:t>西安博华机电股份有限公司</w:t>
            </w:r>
            <w:bookmarkEnd w:id="11"/>
          </w:p>
        </w:tc>
        <w:tc>
          <w:tcPr>
            <w:tcW w:w="1319" w:type="dxa"/>
            <w:vAlign w:val="center"/>
          </w:tcPr>
          <w:p>
            <w:pPr>
              <w:spacing w:line="240" w:lineRule="auto"/>
              <w:jc w:val="center"/>
              <w:rPr>
                <w:rFonts w:ascii="宋体"/>
                <w:b/>
                <w:sz w:val="21"/>
              </w:rPr>
            </w:pPr>
            <w:r>
              <w:rPr>
                <w:rFonts w:hint="eastAsia" w:ascii="宋体" w:hAnsi="宋体"/>
                <w:b/>
                <w:sz w:val="21"/>
              </w:rPr>
              <w:t>组织人数及</w:t>
            </w:r>
          </w:p>
          <w:p>
            <w:pPr>
              <w:spacing w:line="240" w:lineRule="auto"/>
              <w:jc w:val="center"/>
              <w:rPr>
                <w:b/>
                <w:spacing w:val="-20"/>
              </w:rPr>
            </w:pPr>
            <w:r>
              <w:rPr>
                <w:rFonts w:hint="eastAsia" w:ascii="宋体" w:hAnsi="宋体"/>
                <w:b/>
                <w:sz w:val="21"/>
              </w:rPr>
              <w:t>变动情况核实</w:t>
            </w:r>
          </w:p>
        </w:tc>
        <w:tc>
          <w:tcPr>
            <w:tcW w:w="1500" w:type="dxa"/>
            <w:vAlign w:val="center"/>
          </w:tcPr>
          <w:p>
            <w:pPr>
              <w:spacing w:line="260" w:lineRule="exact"/>
              <w:jc w:val="center"/>
              <w:rPr>
                <w:rFonts w:hint="default" w:ascii="宋体" w:eastAsia="宋体"/>
                <w:b/>
                <w:sz w:val="21"/>
                <w:lang w:val="en-US" w:eastAsia="zh-CN"/>
              </w:rPr>
            </w:pPr>
            <w:r>
              <w:rPr>
                <w:rFonts w:hint="eastAsia" w:ascii="宋体"/>
                <w:b/>
                <w:sz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875" w:type="dxa"/>
            <w:gridSpan w:val="2"/>
            <w:vAlign w:val="center"/>
          </w:tcPr>
          <w:p>
            <w:pPr>
              <w:jc w:val="center"/>
              <w:rPr>
                <w:b/>
                <w:sz w:val="16"/>
                <w:szCs w:val="16"/>
              </w:rPr>
            </w:pPr>
            <w:r>
              <w:rPr>
                <w:rFonts w:hint="eastAsia" w:ascii="宋体" w:hAnsi="宋体"/>
                <w:b/>
                <w:sz w:val="21"/>
                <w:szCs w:val="21"/>
              </w:rPr>
              <w:t>注册地址</w:t>
            </w:r>
          </w:p>
        </w:tc>
        <w:tc>
          <w:tcPr>
            <w:tcW w:w="5112" w:type="dxa"/>
            <w:gridSpan w:val="3"/>
          </w:tcPr>
          <w:p>
            <w:pPr>
              <w:rPr>
                <w:rFonts w:ascii="宋体"/>
                <w:b/>
                <w:sz w:val="21"/>
              </w:rPr>
            </w:pPr>
            <w:bookmarkStart w:id="12" w:name="注册地址"/>
            <w:r>
              <w:rPr>
                <w:rFonts w:ascii="宋体"/>
                <w:b/>
                <w:sz w:val="21"/>
              </w:rPr>
              <w:t>西安市高新区碑林科技产业园4号厂房1栋6B号</w:t>
            </w:r>
            <w:bookmarkEnd w:id="12"/>
          </w:p>
        </w:tc>
        <w:tc>
          <w:tcPr>
            <w:tcW w:w="1319"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710034</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875" w:type="dxa"/>
            <w:gridSpan w:val="2"/>
            <w:vAlign w:val="center"/>
          </w:tcPr>
          <w:p>
            <w:pPr>
              <w:jc w:val="center"/>
              <w:rPr>
                <w:rFonts w:ascii="宋体"/>
                <w:b/>
                <w:sz w:val="21"/>
                <w:szCs w:val="21"/>
              </w:rPr>
            </w:pPr>
            <w:r>
              <w:rPr>
                <w:rFonts w:hint="eastAsia" w:ascii="宋体" w:hAnsi="宋体"/>
                <w:b/>
                <w:sz w:val="21"/>
                <w:szCs w:val="21"/>
              </w:rPr>
              <w:t>经营地址</w:t>
            </w:r>
          </w:p>
        </w:tc>
        <w:tc>
          <w:tcPr>
            <w:tcW w:w="5112" w:type="dxa"/>
            <w:gridSpan w:val="3"/>
          </w:tcPr>
          <w:p>
            <w:pPr>
              <w:rPr>
                <w:rFonts w:ascii="宋体"/>
                <w:b/>
                <w:sz w:val="21"/>
              </w:rPr>
            </w:pPr>
            <w:bookmarkStart w:id="14" w:name="办公地址"/>
            <w:r>
              <w:rPr>
                <w:rFonts w:ascii="宋体"/>
                <w:b/>
                <w:sz w:val="21"/>
              </w:rPr>
              <w:t>西安市高新区碑林科技产业园4号厂房1栋6B号</w:t>
            </w:r>
            <w:bookmarkEnd w:id="14"/>
          </w:p>
        </w:tc>
        <w:tc>
          <w:tcPr>
            <w:tcW w:w="1319"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710034</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75"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5112" w:type="dxa"/>
            <w:gridSpan w:val="3"/>
          </w:tcPr>
          <w:p>
            <w:pPr>
              <w:rPr>
                <w:rFonts w:ascii="宋体"/>
                <w:b/>
                <w:sz w:val="21"/>
              </w:rPr>
            </w:pPr>
            <w:bookmarkStart w:id="16" w:name="生产地址Add"/>
            <w:r>
              <w:rPr>
                <w:rFonts w:ascii="宋体"/>
                <w:b/>
                <w:sz w:val="21"/>
              </w:rPr>
              <w:t>西安市高新区碑林科技产业园4号厂房1栋6B号</w:t>
            </w:r>
            <w:bookmarkEnd w:id="16"/>
          </w:p>
        </w:tc>
        <w:tc>
          <w:tcPr>
            <w:tcW w:w="1319"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710034</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75" w:type="dxa"/>
            <w:gridSpan w:val="2"/>
            <w:vAlign w:val="center"/>
          </w:tcPr>
          <w:p>
            <w:pPr>
              <w:jc w:val="center"/>
              <w:rPr>
                <w:rFonts w:ascii="宋体"/>
                <w:b/>
                <w:sz w:val="21"/>
              </w:rPr>
            </w:pPr>
            <w:r>
              <w:rPr>
                <w:rFonts w:hint="eastAsia" w:ascii="宋体" w:hAnsi="宋体"/>
                <w:b/>
                <w:sz w:val="21"/>
              </w:rPr>
              <w:t>联系人</w:t>
            </w:r>
          </w:p>
        </w:tc>
        <w:tc>
          <w:tcPr>
            <w:tcW w:w="2032" w:type="dxa"/>
          </w:tcPr>
          <w:p>
            <w:pPr>
              <w:rPr>
                <w:rFonts w:hint="default" w:ascii="宋体" w:eastAsia="宋体"/>
                <w:b/>
                <w:sz w:val="21"/>
                <w:lang w:val="en-US" w:eastAsia="zh-CN"/>
              </w:rPr>
            </w:pPr>
            <w:r>
              <w:rPr>
                <w:rFonts w:hint="eastAsia" w:ascii="宋体"/>
                <w:b/>
                <w:sz w:val="21"/>
                <w:lang w:val="en-US" w:eastAsia="zh-CN"/>
              </w:rPr>
              <w:t>秦喜梅</w:t>
            </w:r>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971" w:type="dxa"/>
            <w:vAlign w:val="center"/>
          </w:tcPr>
          <w:p>
            <w:pPr>
              <w:jc w:val="center"/>
              <w:rPr>
                <w:rFonts w:hint="default" w:ascii="宋体" w:eastAsia="宋体"/>
                <w:b/>
                <w:sz w:val="21"/>
                <w:lang w:val="en-US" w:eastAsia="zh-CN"/>
              </w:rPr>
            </w:pPr>
            <w:r>
              <w:rPr>
                <w:rFonts w:hint="eastAsia" w:ascii="宋体"/>
                <w:b/>
                <w:sz w:val="21"/>
                <w:lang w:val="en-US" w:eastAsia="zh-CN"/>
              </w:rPr>
              <w:t>18629661505</w:t>
            </w:r>
          </w:p>
        </w:tc>
        <w:tc>
          <w:tcPr>
            <w:tcW w:w="1319"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875"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032" w:type="dxa"/>
          </w:tcPr>
          <w:p>
            <w:pPr>
              <w:rPr>
                <w:rFonts w:ascii="宋体" w:hAnsi="宋体"/>
                <w:b/>
                <w:sz w:val="21"/>
                <w:szCs w:val="21"/>
              </w:rPr>
            </w:pPr>
            <w:bookmarkStart w:id="19" w:name="法人"/>
            <w:r>
              <w:rPr>
                <w:rFonts w:ascii="宋体" w:hAnsi="宋体"/>
                <w:b/>
                <w:sz w:val="21"/>
                <w:szCs w:val="21"/>
              </w:rPr>
              <w:t>王振平</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971" w:type="dxa"/>
          </w:tcPr>
          <w:p>
            <w:pPr>
              <w:rPr>
                <w:rFonts w:ascii="宋体" w:hAnsi="宋体"/>
                <w:b/>
                <w:sz w:val="21"/>
                <w:szCs w:val="21"/>
              </w:rPr>
            </w:pPr>
          </w:p>
        </w:tc>
        <w:tc>
          <w:tcPr>
            <w:tcW w:w="1319"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魏西斌</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875"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141" w:type="dxa"/>
            <w:gridSpan w:val="2"/>
            <w:vAlign w:val="center"/>
          </w:tcPr>
          <w:p>
            <w:pPr>
              <w:rPr>
                <w:rFonts w:ascii="宋体" w:hAnsi="宋体"/>
                <w:b/>
                <w:sz w:val="21"/>
                <w:szCs w:val="21"/>
              </w:rPr>
            </w:pPr>
            <w:bookmarkStart w:id="21" w:name="审核日期"/>
            <w:r>
              <w:rPr>
                <w:rFonts w:ascii="宋体" w:hAnsi="宋体"/>
                <w:b/>
                <w:sz w:val="21"/>
                <w:szCs w:val="21"/>
              </w:rPr>
              <w:t>2021年02月08日 上午至2021年02月08日 下午</w:t>
            </w:r>
            <w:bookmarkEnd w:id="21"/>
          </w:p>
        </w:tc>
        <w:tc>
          <w:tcPr>
            <w:tcW w:w="1971" w:type="dxa"/>
            <w:vAlign w:val="center"/>
          </w:tcPr>
          <w:p>
            <w:pPr>
              <w:rPr>
                <w:rFonts w:ascii="宋体" w:hAnsi="宋体"/>
                <w:b/>
                <w:sz w:val="21"/>
                <w:szCs w:val="21"/>
              </w:rPr>
            </w:pPr>
            <w:r>
              <w:rPr>
                <w:rFonts w:hint="eastAsia" w:ascii="宋体" w:hAnsi="宋体"/>
                <w:b/>
                <w:sz w:val="21"/>
                <w:szCs w:val="21"/>
              </w:rPr>
              <w:t>一体化审核</w:t>
            </w:r>
          </w:p>
        </w:tc>
        <w:tc>
          <w:tcPr>
            <w:tcW w:w="2819"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875"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931" w:type="dxa"/>
            <w:gridSpan w:val="5"/>
          </w:tcPr>
          <w:p>
            <w:pPr>
              <w:spacing w:line="360" w:lineRule="exact"/>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：汽车制动系统、安全标识的销售。</w:t>
            </w:r>
          </w:p>
          <w:p>
            <w:pPr>
              <w:spacing w:line="360" w:lineRule="exact"/>
              <w:rPr>
                <w:rFonts w:ascii="宋体" w:hAnsi="宋体"/>
                <w:b/>
                <w:sz w:val="21"/>
                <w:szCs w:val="21"/>
              </w:rPr>
            </w:pPr>
            <w:bookmarkStart w:id="23" w:name="E勾选Add1"/>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834"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931"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75"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032" w:type="dxa"/>
            <w:vAlign w:val="center"/>
          </w:tcPr>
          <w:p>
            <w:pPr>
              <w:spacing w:line="260" w:lineRule="exact"/>
              <w:jc w:val="center"/>
              <w:rPr>
                <w:rFonts w:ascii="宋体" w:hAnsi="宋体"/>
                <w:b/>
                <w:sz w:val="21"/>
                <w:szCs w:val="21"/>
              </w:rPr>
            </w:pPr>
            <w:bookmarkStart w:id="25" w:name="专业代码"/>
            <w:r>
              <w:rPr>
                <w:rFonts w:ascii="宋体" w:hAnsi="宋体"/>
                <w:b/>
                <w:sz w:val="21"/>
                <w:szCs w:val="21"/>
              </w:rPr>
              <w:t>29.12.00</w:t>
            </w:r>
            <w:bookmarkEnd w:id="25"/>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971" w:type="dxa"/>
            <w:vAlign w:val="center"/>
          </w:tcPr>
          <w:p>
            <w:pPr>
              <w:spacing w:line="260" w:lineRule="exact"/>
              <w:jc w:val="center"/>
              <w:rPr>
                <w:rFonts w:ascii="宋体" w:hAnsi="宋体"/>
                <w:b/>
                <w:sz w:val="21"/>
                <w:szCs w:val="21"/>
              </w:rPr>
            </w:pPr>
            <w:r>
              <w:rPr>
                <w:rFonts w:hint="eastAsia" w:ascii="宋体" w:hAnsi="宋体"/>
                <w:b/>
                <w:sz w:val="21"/>
                <w:szCs w:val="21"/>
              </w:rPr>
              <w:t>2023年01月06日</w:t>
            </w:r>
          </w:p>
        </w:tc>
        <w:tc>
          <w:tcPr>
            <w:tcW w:w="1319"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vAlign w:val="center"/>
          </w:tcPr>
          <w:p>
            <w:pPr>
              <w:spacing w:line="260" w:lineRule="exact"/>
              <w:jc w:val="center"/>
              <w:rPr>
                <w:rFonts w:ascii="宋体"/>
                <w:b/>
                <w:sz w:val="21"/>
              </w:rPr>
            </w:pPr>
            <w:r>
              <w:rPr>
                <w:rFonts w:hint="eastAsia" w:ascii="宋体"/>
                <w:b/>
                <w:sz w:val="21"/>
                <w:lang w:val="en-US" w:eastAsia="zh-CN"/>
              </w:rPr>
              <w:t>2019.12.24</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24</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2</w:t>
      </w:r>
      <w:r>
        <w:rPr>
          <w:rFonts w:hint="eastAsia" w:ascii="宋体" w:hAnsi="宋体"/>
          <w:b/>
          <w:sz w:val="21"/>
          <w:szCs w:val="21"/>
        </w:rPr>
        <w:t>月</w:t>
      </w:r>
      <w:r>
        <w:rPr>
          <w:rFonts w:hint="eastAsia" w:ascii="宋体" w:hAnsi="宋体"/>
          <w:b/>
          <w:sz w:val="21"/>
          <w:szCs w:val="21"/>
          <w:lang w:val="en-US" w:eastAsia="zh-CN"/>
        </w:rPr>
        <w:t>8</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rPr>
          <w:cantSplit/>
          <w:trHeight w:val="2077" w:hRule="atLeast"/>
          <w:jc w:val="center"/>
        </w:trPr>
        <w:tc>
          <w:tcPr>
            <w:tcW w:w="720" w:type="dxa"/>
            <w:vMerge w:val="restart"/>
            <w:textDirection w:val="tbRlV"/>
            <w:vAlign w:val="center"/>
          </w:tcPr>
          <w:p>
            <w:pPr>
              <w:spacing w:line="360" w:lineRule="auto"/>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360" w:lineRule="auto"/>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360" w:lineRule="auto"/>
              <w:rPr>
                <w:rFonts w:ascii="宋体" w:hAnsi="宋体"/>
                <w:b/>
                <w:sz w:val="21"/>
                <w:szCs w:val="21"/>
              </w:rPr>
            </w:pPr>
            <w:r>
              <w:rPr>
                <w:rFonts w:hint="eastAsia" w:ascii="宋体" w:hAnsi="宋体" w:cs="宋体"/>
                <w:color w:val="000000" w:themeColor="text1"/>
                <w:sz w:val="20"/>
                <w:szCs w:val="20"/>
              </w:rPr>
              <w:t>内外部环境、相关方的需求，其对政策、法规、经济、行业趋势等信息通过行业协会、社会关系、政府网站等渠道获得，包括客户以及其他相关方的要求进行了识别，最高管理者和管理层增加了风险意识，分析了公司所处的内外部环境，面临的风险和机遇，并制定应对风险和机遇的措施，由相应的部门进行落实。企业按照标准和客户要求生产销售不需再进行设计开发，所以</w:t>
            </w:r>
            <w:r>
              <w:rPr>
                <w:rFonts w:hint="eastAsia" w:ascii="宋体" w:hAnsi="宋体" w:cs="宋体"/>
                <w:sz w:val="20"/>
                <w:szCs w:val="20"/>
              </w:rPr>
              <w:t>8.3</w:t>
            </w:r>
            <w:r>
              <w:rPr>
                <w:rFonts w:hint="eastAsia" w:ascii="宋体" w:hAnsi="宋体" w:cs="宋体"/>
                <w:color w:val="000000" w:themeColor="text1"/>
                <w:sz w:val="20"/>
                <w:szCs w:val="20"/>
              </w:rPr>
              <w:t>条款不适用。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360" w:lineRule="auto"/>
              <w:ind w:left="241" w:right="113" w:hanging="241" w:hangingChars="100"/>
              <w:jc w:val="center"/>
              <w:rPr>
                <w:rFonts w:ascii="宋体"/>
                <w:b/>
                <w:szCs w:val="21"/>
              </w:rPr>
            </w:pPr>
          </w:p>
        </w:tc>
        <w:tc>
          <w:tcPr>
            <w:tcW w:w="9198" w:type="dxa"/>
          </w:tcPr>
          <w:p>
            <w:pPr>
              <w:numPr>
                <w:ilvl w:val="0"/>
                <w:numId w:val="1"/>
              </w:numPr>
              <w:spacing w:line="360" w:lineRule="auto"/>
              <w:rPr>
                <w:rFonts w:hint="eastAsia" w:ascii="宋体" w:hAnsi="宋体"/>
                <w:b/>
                <w:sz w:val="21"/>
                <w:szCs w:val="21"/>
              </w:rPr>
            </w:pPr>
            <w:r>
              <w:rPr>
                <w:rFonts w:hint="eastAsia" w:ascii="宋体" w:hAnsi="宋体"/>
                <w:b/>
                <w:sz w:val="21"/>
                <w:szCs w:val="21"/>
              </w:rPr>
              <w:t>相关方需求和期望识别情况</w:t>
            </w:r>
          </w:p>
          <w:p>
            <w:pPr>
              <w:spacing w:line="360" w:lineRule="auto"/>
              <w:rPr>
                <w:rFonts w:ascii="宋体" w:hAnsi="宋体"/>
                <w:b/>
                <w:sz w:val="21"/>
                <w:szCs w:val="21"/>
              </w:rPr>
            </w:pPr>
            <w:r>
              <w:rPr>
                <w:rFonts w:hint="eastAsia" w:ascii="宋体" w:hAnsi="宋体" w:eastAsia="宋体" w:cs="宋体"/>
                <w:color w:val="000000" w:themeColor="text1"/>
                <w:sz w:val="20"/>
                <w:szCs w:val="20"/>
              </w:rPr>
              <w:t>理解公司相关方的需求和期望，做到事先预防、合理规避和妥善处理公司各类经营风险和机遇，在管理体系过程中整合并实施风险和机遇所采取的措施，确保管理体系实现预期结果。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360" w:lineRule="auto"/>
              <w:ind w:left="241" w:right="113" w:hanging="241" w:hangingChars="100"/>
              <w:jc w:val="center"/>
              <w:rPr>
                <w:rFonts w:ascii="宋体"/>
                <w:b/>
                <w:szCs w:val="21"/>
              </w:rPr>
            </w:pPr>
          </w:p>
        </w:tc>
        <w:tc>
          <w:tcPr>
            <w:tcW w:w="9198" w:type="dxa"/>
          </w:tcPr>
          <w:p>
            <w:pPr>
              <w:numPr>
                <w:ilvl w:val="0"/>
                <w:numId w:val="2"/>
              </w:numPr>
              <w:spacing w:line="360" w:lineRule="auto"/>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360" w:lineRule="auto"/>
              <w:ind w:firstLine="420" w:firstLineChars="200"/>
              <w:rPr>
                <w:rFonts w:hint="eastAsia" w:ascii="宋体" w:hAnsi="宋体"/>
                <w:b w:val="0"/>
                <w:bCs/>
                <w:sz w:val="21"/>
                <w:szCs w:val="21"/>
              </w:rPr>
            </w:pPr>
            <w:r>
              <w:rPr>
                <w:rFonts w:hint="eastAsia" w:ascii="宋体" w:hAnsi="宋体"/>
                <w:b w:val="0"/>
                <w:bCs/>
                <w:sz w:val="21"/>
                <w:szCs w:val="21"/>
              </w:rPr>
              <w:t>质量为本  坚持科技兴业</w:t>
            </w:r>
            <w:r>
              <w:rPr>
                <w:rFonts w:hint="eastAsia" w:ascii="宋体" w:hAnsi="宋体"/>
                <w:b w:val="0"/>
                <w:bCs/>
                <w:sz w:val="21"/>
                <w:szCs w:val="21"/>
                <w:lang w:val="en-US" w:eastAsia="zh-CN"/>
              </w:rPr>
              <w:t xml:space="preserve">   </w:t>
            </w:r>
            <w:r>
              <w:rPr>
                <w:rFonts w:hint="eastAsia" w:ascii="宋体" w:hAnsi="宋体"/>
                <w:b w:val="0"/>
                <w:bCs/>
                <w:sz w:val="21"/>
                <w:szCs w:val="21"/>
              </w:rPr>
              <w:t>持续改进  确保顾客满意</w:t>
            </w:r>
          </w:p>
          <w:p>
            <w:pPr>
              <w:spacing w:line="360" w:lineRule="auto"/>
              <w:rPr>
                <w:rFonts w:ascii="宋体" w:hAnsi="宋体"/>
                <w:b/>
                <w:sz w:val="21"/>
                <w:szCs w:val="21"/>
              </w:rPr>
            </w:pPr>
            <w:r>
              <w:rPr>
                <w:rFonts w:hint="eastAsia" w:ascii="宋体" w:hAnsi="宋体"/>
                <w:b w:val="0"/>
                <w:bCs/>
                <w:sz w:val="21"/>
                <w:szCs w:val="21"/>
              </w:rPr>
              <w:t>管理方针通过文件、培训等形式将公司管理方针传达给所有为公司工作或代表公司的人员管理评审时进行了评审，方针适宜。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720" w:type="dxa"/>
            <w:vMerge w:val="continue"/>
            <w:textDirection w:val="tbRlV"/>
            <w:vAlign w:val="center"/>
          </w:tcPr>
          <w:p>
            <w:pPr>
              <w:spacing w:line="360" w:lineRule="auto"/>
              <w:ind w:left="241" w:right="113" w:hanging="241" w:hangingChars="100"/>
              <w:jc w:val="center"/>
              <w:rPr>
                <w:rFonts w:ascii="宋体"/>
                <w:b/>
                <w:szCs w:val="21"/>
              </w:rPr>
            </w:pPr>
          </w:p>
        </w:tc>
        <w:tc>
          <w:tcPr>
            <w:tcW w:w="9198" w:type="dxa"/>
          </w:tcPr>
          <w:p>
            <w:pPr>
              <w:numPr>
                <w:ilvl w:val="0"/>
                <w:numId w:val="0"/>
              </w:numPr>
              <w:spacing w:line="360" w:lineRule="auto"/>
              <w:ind w:leftChars="0"/>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风险识别与控制策划</w:t>
            </w:r>
          </w:p>
          <w:p>
            <w:pPr>
              <w:numPr>
                <w:ilvl w:val="0"/>
                <w:numId w:val="0"/>
              </w:numPr>
              <w:spacing w:line="360" w:lineRule="auto"/>
              <w:ind w:leftChars="0"/>
              <w:rPr>
                <w:rFonts w:ascii="宋体" w:hAnsi="宋体"/>
                <w:b/>
                <w:sz w:val="21"/>
                <w:szCs w:val="21"/>
              </w:rPr>
            </w:pPr>
            <w:r>
              <w:rPr>
                <w:rFonts w:hint="eastAsia" w:ascii="宋体" w:hAnsi="宋体"/>
                <w:color w:val="000000" w:themeColor="text1"/>
                <w:sz w:val="20"/>
              </w:rPr>
              <w:t>编制了《风险和机遇评估分析表》，风险和机遇及应对的措施策划适当符合要求。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60" w:lineRule="auto"/>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60" w:lineRule="auto"/>
              <w:ind w:left="201" w:hanging="201" w:hangingChars="100"/>
              <w:rPr>
                <w:rFonts w:ascii="宋体" w:hAnsi="宋体"/>
                <w:b/>
                <w:color w:val="000000" w:themeColor="text1"/>
                <w:sz w:val="20"/>
                <w:u w:val="single"/>
              </w:rPr>
            </w:pPr>
            <w:r>
              <w:rPr>
                <w:rFonts w:hint="eastAsia" w:ascii="宋体" w:hAnsi="宋体"/>
                <w:b/>
                <w:color w:val="000000" w:themeColor="text1"/>
                <w:sz w:val="20"/>
              </w:rPr>
              <w:t>其中关键过程有</w:t>
            </w:r>
            <w:r>
              <w:rPr>
                <w:rFonts w:hint="eastAsia" w:ascii="宋体" w:hAnsi="宋体"/>
                <w:b/>
                <w:color w:val="000000" w:themeColor="text1"/>
                <w:sz w:val="20"/>
                <w:u w:val="single"/>
              </w:rPr>
              <w:t xml:space="preserve">   </w:t>
            </w:r>
            <w:r>
              <w:rPr>
                <w:rFonts w:hint="eastAsia" w:ascii="宋体" w:hAnsi="宋体"/>
                <w:color w:val="000000" w:themeColor="text1"/>
                <w:sz w:val="20"/>
                <w:u w:val="single"/>
              </w:rPr>
              <w:t xml:space="preserve">销售服务过程 </w:t>
            </w:r>
          </w:p>
          <w:p>
            <w:pPr>
              <w:tabs>
                <w:tab w:val="left" w:pos="540"/>
              </w:tabs>
              <w:spacing w:line="360" w:lineRule="auto"/>
              <w:ind w:left="201" w:hanging="201" w:hangingChars="100"/>
              <w:rPr>
                <w:rFonts w:ascii="宋体" w:hAnsi="宋体"/>
                <w:b/>
                <w:color w:val="000000" w:themeColor="text1"/>
                <w:sz w:val="20"/>
                <w:u w:val="single"/>
              </w:rPr>
            </w:pPr>
            <w:r>
              <w:rPr>
                <w:rFonts w:hint="eastAsia" w:ascii="宋体" w:hAnsi="宋体"/>
                <w:b/>
                <w:color w:val="000000" w:themeColor="text1"/>
                <w:sz w:val="20"/>
              </w:rPr>
              <w:t xml:space="preserve">需要确认过程 </w:t>
            </w:r>
            <w:r>
              <w:rPr>
                <w:rFonts w:hint="eastAsia" w:ascii="宋体" w:hAnsi="宋体"/>
                <w:color w:val="000000" w:themeColor="text1"/>
                <w:sz w:val="20"/>
                <w:u w:val="single"/>
              </w:rPr>
              <w:t>销售服务过程</w:t>
            </w:r>
            <w:r>
              <w:rPr>
                <w:rFonts w:hint="eastAsia" w:ascii="宋体" w:hAnsi="宋体"/>
                <w:b/>
                <w:color w:val="000000" w:themeColor="text1"/>
                <w:sz w:val="20"/>
              </w:rPr>
              <w:t xml:space="preserve"> </w:t>
            </w:r>
          </w:p>
          <w:p>
            <w:pPr>
              <w:tabs>
                <w:tab w:val="left" w:pos="540"/>
              </w:tabs>
              <w:spacing w:line="360" w:lineRule="auto"/>
              <w:ind w:left="211" w:hanging="201" w:hangingChars="100"/>
              <w:rPr>
                <w:rFonts w:ascii="宋体" w:hAnsi="宋体"/>
                <w:b/>
                <w:sz w:val="21"/>
                <w:szCs w:val="21"/>
              </w:rPr>
            </w:pPr>
            <w:r>
              <w:rPr>
                <w:rFonts w:hint="eastAsia" w:ascii="宋体" w:hAnsi="宋体"/>
                <w:b/>
                <w:color w:val="000000" w:themeColor="text1"/>
                <w:sz w:val="20"/>
              </w:rPr>
              <w:t xml:space="preserve">不适用条款是 </w:t>
            </w:r>
            <w:r>
              <w:rPr>
                <w:rFonts w:hint="eastAsia" w:ascii="宋体" w:hAnsi="宋体"/>
                <w:color w:val="000000" w:themeColor="text1"/>
                <w:sz w:val="20"/>
                <w:u w:val="single"/>
              </w:rPr>
              <w:t>8.3条款</w:t>
            </w:r>
            <w:r>
              <w:rPr>
                <w:rFonts w:hint="eastAsia" w:ascii="宋体" w:hAnsi="宋体"/>
                <w:color w:val="000000" w:themeColor="text1"/>
                <w:sz w:val="20"/>
              </w:rPr>
              <w:t xml:space="preserve">  ，</w:t>
            </w:r>
            <w:r>
              <w:rPr>
                <w:rFonts w:hint="eastAsia" w:ascii="宋体" w:hAnsi="宋体"/>
                <w:b/>
                <w:color w:val="000000" w:themeColor="text1"/>
                <w:sz w:val="20"/>
              </w:rPr>
              <w:t>不适用理由：</w:t>
            </w:r>
            <w:r>
              <w:rPr>
                <w:rFonts w:hint="eastAsia" w:ascii="宋体" w:hAnsi="宋体"/>
                <w:color w:val="000000" w:themeColor="text1"/>
                <w:sz w:val="20"/>
                <w:u w:val="single"/>
              </w:rPr>
              <w:t>按照标准和客户要求销售，不需再进行设计开发，删减适宜</w:t>
            </w:r>
          </w:p>
          <w:p>
            <w:pPr>
              <w:tabs>
                <w:tab w:val="left" w:pos="540"/>
              </w:tabs>
              <w:spacing w:line="360" w:lineRule="auto"/>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60" w:lineRule="auto"/>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360" w:lineRule="auto"/>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5"/>
              <w:numPr>
                <w:ilvl w:val="0"/>
                <w:numId w:val="3"/>
              </w:numPr>
              <w:tabs>
                <w:tab w:val="left" w:pos="540"/>
              </w:tabs>
              <w:spacing w:line="360" w:lineRule="auto"/>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5"/>
              <w:numPr>
                <w:ilvl w:val="0"/>
                <w:numId w:val="3"/>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危险源，☑确定 □未确定法律法规要求的具体条款，</w:t>
            </w:r>
          </w:p>
          <w:p>
            <w:pPr>
              <w:pStyle w:val="15"/>
              <w:numPr>
                <w:ilvl w:val="0"/>
                <w:numId w:val="3"/>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szCs w:val="21"/>
                <w:u w:val="single"/>
              </w:rPr>
              <w:t>公司通过培训、会议等方式向有关员工传达法律、法规及其它要求的相关要求。</w:t>
            </w:r>
          </w:p>
          <w:p>
            <w:pPr>
              <w:pStyle w:val="15"/>
              <w:numPr>
                <w:ilvl w:val="0"/>
                <w:numId w:val="3"/>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szCs w:val="21"/>
                <w:u w:val="single"/>
              </w:rPr>
              <w:t>为最新版本，每年更新一次。</w:t>
            </w:r>
          </w:p>
          <w:p>
            <w:pPr>
              <w:pStyle w:val="15"/>
              <w:numPr>
                <w:ilvl w:val="0"/>
                <w:numId w:val="3"/>
              </w:numPr>
              <w:tabs>
                <w:tab w:val="left" w:pos="540"/>
              </w:tabs>
              <w:spacing w:line="360" w:lineRule="auto"/>
              <w:ind w:firstLineChars="0"/>
              <w:rPr>
                <w:rFonts w:ascii="宋体" w:hAnsi="宋体"/>
                <w:b/>
                <w:color w:val="000000" w:themeColor="text1"/>
                <w:szCs w:val="21"/>
              </w:rPr>
            </w:pPr>
            <w:r>
              <w:rPr>
                <w:rFonts w:hint="eastAsia" w:ascii="宋体" w:hAnsi="宋体"/>
                <w:szCs w:val="21"/>
                <w:u w:val="single"/>
              </w:rPr>
              <w:t>审核时发现公司能提供进行合规性评价的证据</w:t>
            </w:r>
            <w:r>
              <w:rPr>
                <w:rFonts w:hint="eastAsia" w:ascii="宋体" w:hAnsi="宋体"/>
                <w:szCs w:val="21"/>
                <w:u w:val="single"/>
                <w:lang w:eastAsia="zh-CN"/>
              </w:rPr>
              <w:t>。</w:t>
            </w:r>
          </w:p>
          <w:p>
            <w:pPr>
              <w:tabs>
                <w:tab w:val="left" w:pos="0"/>
              </w:tabs>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60" w:lineRule="auto"/>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60" w:lineRule="auto"/>
              <w:rPr>
                <w:rFonts w:hint="eastAsia" w:ascii="宋体" w:hAnsi="宋体"/>
                <w:b w:val="0"/>
                <w:bCs/>
                <w:sz w:val="21"/>
                <w:szCs w:val="21"/>
              </w:rPr>
            </w:pPr>
            <w:r>
              <w:rPr>
                <w:rFonts w:hint="eastAsia" w:ascii="宋体" w:hAnsi="宋体"/>
                <w:b w:val="0"/>
                <w:bCs/>
                <w:sz w:val="21"/>
                <w:szCs w:val="21"/>
              </w:rPr>
              <w:t>1、产品一次交验合格率≥97%； 2、顾客满意度≥95%。</w:t>
            </w:r>
          </w:p>
          <w:p>
            <w:pPr>
              <w:spacing w:line="360" w:lineRule="auto"/>
              <w:rPr>
                <w:rFonts w:ascii="宋体" w:hAnsi="宋体"/>
                <w:b/>
                <w:sz w:val="21"/>
                <w:szCs w:val="21"/>
              </w:rPr>
            </w:pPr>
            <w:r>
              <w:rPr>
                <w:rFonts w:hint="eastAsia" w:ascii="宋体" w:hAnsi="宋体"/>
                <w:b w:val="0"/>
                <w:bCs/>
                <w:sz w:val="21"/>
                <w:szCs w:val="21"/>
              </w:rPr>
              <w:t>提供 “目标分解与考核表”、“目标、指标、管理方案一览表”等。目标已分解到其他部门，有目标实现的措施和资源、考核方式、考核周期等要求。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360" w:lineRule="auto"/>
              <w:rPr>
                <w:rFonts w:hint="eastAsia" w:ascii="宋体" w:hAnsi="宋体"/>
                <w:b w:val="0"/>
                <w:bCs/>
                <w:sz w:val="21"/>
                <w:szCs w:val="21"/>
              </w:rPr>
            </w:pPr>
            <w:r>
              <w:rPr>
                <w:rFonts w:hint="eastAsia" w:ascii="宋体" w:hAnsi="宋体"/>
                <w:b w:val="0"/>
                <w:bCs/>
                <w:sz w:val="21"/>
                <w:szCs w:val="21"/>
              </w:rPr>
              <w:t>体系文件符合公司要求，文件和记录管理控制符合标准要求。</w:t>
            </w:r>
          </w:p>
          <w:p>
            <w:pPr>
              <w:tabs>
                <w:tab w:val="left" w:pos="540"/>
              </w:tabs>
              <w:spacing w:line="360" w:lineRule="auto"/>
              <w:rPr>
                <w:rFonts w:ascii="宋体" w:hAnsi="宋体"/>
                <w:b/>
                <w:sz w:val="21"/>
                <w:szCs w:val="21"/>
              </w:rPr>
            </w:pPr>
            <w:r>
              <w:rPr>
                <w:rFonts w:hint="eastAsia" w:ascii="宋体" w:hAnsi="宋体"/>
                <w:b w:val="0"/>
                <w:bCs/>
                <w:sz w:val="21"/>
                <w:szCs w:val="21"/>
              </w:rPr>
              <w:t>自初审后无变化。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720" w:type="dxa"/>
            <w:vMerge w:val="restart"/>
            <w:textDirection w:val="tbRlV"/>
            <w:vAlign w:val="center"/>
          </w:tcPr>
          <w:p>
            <w:pPr>
              <w:spacing w:line="360" w:lineRule="auto"/>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60" w:lineRule="auto"/>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60" w:lineRule="auto"/>
              <w:rPr>
                <w:rFonts w:ascii="宋体" w:hAnsi="宋体"/>
                <w:b/>
                <w:sz w:val="21"/>
                <w:szCs w:val="21"/>
              </w:rPr>
            </w:pPr>
            <w:r>
              <w:rPr>
                <w:rFonts w:hint="eastAsia"/>
                <w:sz w:val="21"/>
                <w:szCs w:val="21"/>
              </w:rPr>
              <w:t>编制了人力资源管理程序，制定培训计划，定期组织相关培训，能满足上岗要求。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设备设施（包括信息系统）、</w:t>
            </w:r>
          </w:p>
          <w:p>
            <w:pPr>
              <w:spacing w:line="360" w:lineRule="auto"/>
              <w:rPr>
                <w:rFonts w:ascii="宋体" w:hAnsi="宋体"/>
                <w:b/>
                <w:sz w:val="21"/>
                <w:szCs w:val="21"/>
              </w:rPr>
            </w:pPr>
            <w:r>
              <w:rPr>
                <w:rFonts w:hint="eastAsia"/>
                <w:sz w:val="21"/>
                <w:szCs w:val="21"/>
              </w:rPr>
              <w:t>主要设备有：电脑、打印机、网络、电话、打包机等设施设备，有办公室能满足要求；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过程运行环境</w:t>
            </w:r>
          </w:p>
          <w:p>
            <w:pPr>
              <w:spacing w:line="360" w:lineRule="auto"/>
              <w:rPr>
                <w:rFonts w:ascii="宋体" w:hAnsi="宋体"/>
                <w:b/>
                <w:sz w:val="21"/>
                <w:szCs w:val="21"/>
              </w:rPr>
            </w:pPr>
            <w:r>
              <w:rPr>
                <w:rFonts w:hint="eastAsia" w:ascii="宋体" w:hAnsi="宋体"/>
                <w:b w:val="0"/>
                <w:bCs/>
                <w:sz w:val="21"/>
                <w:szCs w:val="21"/>
              </w:rPr>
              <w:t>产品销售对环境没有特殊要求，办公室空间较宽敞、光线较明亮，销售服务和办公环境干净、整洁。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监视和测量资源</w:t>
            </w:r>
          </w:p>
          <w:p>
            <w:pPr>
              <w:spacing w:line="360" w:lineRule="auto"/>
              <w:rPr>
                <w:rFonts w:ascii="宋体" w:hAnsi="宋体"/>
                <w:b/>
                <w:sz w:val="21"/>
                <w:szCs w:val="21"/>
              </w:rPr>
            </w:pPr>
            <w:r>
              <w:rPr>
                <w:rFonts w:hint="eastAsia" w:ascii="宋体" w:hAnsi="宋体"/>
                <w:b w:val="0"/>
                <w:bCs/>
                <w:sz w:val="21"/>
                <w:szCs w:val="21"/>
              </w:rPr>
              <w:t>采取查验产品外观、包装、合格证等方式，无需监视和测量资源。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知识</w:t>
            </w:r>
          </w:p>
          <w:p>
            <w:pPr>
              <w:spacing w:line="360" w:lineRule="auto"/>
              <w:rPr>
                <w:rFonts w:ascii="宋体" w:hAnsi="宋体"/>
                <w:b/>
                <w:sz w:val="21"/>
                <w:szCs w:val="21"/>
              </w:rPr>
            </w:pPr>
            <w:r>
              <w:rPr>
                <w:rFonts w:hint="eastAsia" w:ascii="宋体" w:hAnsi="宋体"/>
                <w:b w:val="0"/>
                <w:bCs/>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360" w:lineRule="auto"/>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60" w:lineRule="auto"/>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60" w:lineRule="auto"/>
              <w:ind w:left="1"/>
              <w:rPr>
                <w:rFonts w:ascii="宋体" w:hAnsi="宋体"/>
                <w:b/>
                <w:sz w:val="21"/>
                <w:szCs w:val="21"/>
              </w:rPr>
            </w:pPr>
            <w:r>
              <w:rPr>
                <w:rFonts w:hint="eastAsia"/>
                <w:color w:val="000000" w:themeColor="text1"/>
                <w:sz w:val="21"/>
                <w:szCs w:val="22"/>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360" w:lineRule="auto"/>
              <w:rPr>
                <w:rFonts w:hint="eastAsia" w:ascii="宋体" w:hAnsi="宋体" w:eastAsia="宋体" w:cs="宋体"/>
                <w:b/>
                <w:color w:val="000000" w:themeColor="text1"/>
                <w:sz w:val="21"/>
                <w:szCs w:val="21"/>
              </w:rPr>
            </w:pPr>
            <w:r>
              <w:rPr>
                <w:rFonts w:hint="eastAsia" w:ascii="宋体" w:hAnsi="宋体" w:eastAsia="宋体" w:cs="Times New Roman"/>
                <w:b/>
                <w:sz w:val="21"/>
                <w:szCs w:val="21"/>
              </w:rPr>
              <w:t>内部沟通的情况：内部沟通方式：</w:t>
            </w:r>
            <w:r>
              <w:rPr>
                <w:rFonts w:hint="eastAsia" w:ascii="宋体" w:hAnsi="宋体" w:eastAsia="宋体" w:cs="宋体"/>
                <w:color w:val="000000" w:themeColor="text1"/>
                <w:sz w:val="21"/>
                <w:szCs w:val="21"/>
              </w:rPr>
              <w:t>培训、会议；</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                </w:t>
            </w:r>
            <w:r>
              <w:rPr>
                <w:rFonts w:hint="eastAsia" w:ascii="宋体" w:hAnsi="宋体" w:eastAsia="宋体" w:cs="宋体"/>
                <w:b/>
                <w:sz w:val="21"/>
                <w:szCs w:val="21"/>
              </w:rPr>
              <w:t>内部沟通的效果：</w:t>
            </w:r>
            <w:r>
              <w:rPr>
                <w:rFonts w:hint="eastAsia" w:ascii="宋体" w:hAnsi="宋体" w:eastAsia="宋体" w:cs="宋体"/>
                <w:color w:val="000000" w:themeColor="text1"/>
                <w:sz w:val="21"/>
                <w:szCs w:val="21"/>
              </w:rPr>
              <w:t>沟通畅通；</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组织对外联络，关注顾客的感受情况（QMS）：</w:t>
            </w:r>
            <w:r>
              <w:rPr>
                <w:rFonts w:hint="eastAsia" w:ascii="宋体" w:hAnsi="宋体" w:eastAsia="宋体" w:cs="宋体"/>
                <w:color w:val="000000" w:themeColor="text1"/>
                <w:sz w:val="21"/>
                <w:szCs w:val="21"/>
              </w:rPr>
              <w:t>定期组织顾客满意度调查和走访</w:t>
            </w:r>
          </w:p>
          <w:p>
            <w:pPr>
              <w:spacing w:line="360" w:lineRule="auto"/>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p>
          <w:p>
            <w:pPr>
              <w:spacing w:line="360" w:lineRule="auto"/>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p>
          <w:p>
            <w:pPr>
              <w:spacing w:line="360" w:lineRule="auto"/>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p>
          <w:p>
            <w:pPr>
              <w:spacing w:line="360" w:lineRule="auto"/>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360" w:lineRule="auto"/>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360" w:lineRule="auto"/>
              <w:rPr>
                <w:rFonts w:hint="eastAsia" w:ascii="宋体" w:hAnsi="宋体"/>
                <w:b w:val="0"/>
                <w:bCs/>
                <w:sz w:val="21"/>
                <w:szCs w:val="21"/>
              </w:rPr>
            </w:pPr>
            <w:r>
              <w:rPr>
                <w:rFonts w:hint="eastAsia" w:ascii="宋体" w:hAnsi="宋体"/>
                <w:b w:val="0"/>
                <w:bCs/>
                <w:sz w:val="21"/>
                <w:szCs w:val="21"/>
              </w:rPr>
              <w:t>公司主要从事汽车制动系统、安全标识的销售。</w:t>
            </w:r>
          </w:p>
          <w:p>
            <w:pPr>
              <w:spacing w:line="360" w:lineRule="auto"/>
              <w:rPr>
                <w:rFonts w:hint="eastAsia" w:ascii="宋体" w:hAnsi="宋体"/>
                <w:b w:val="0"/>
                <w:bCs/>
                <w:sz w:val="21"/>
                <w:szCs w:val="21"/>
              </w:rPr>
            </w:pPr>
            <w:r>
              <w:rPr>
                <w:rFonts w:hint="eastAsia" w:ascii="宋体" w:hAnsi="宋体"/>
                <w:b w:val="0"/>
                <w:bCs/>
                <w:sz w:val="21"/>
                <w:szCs w:val="21"/>
              </w:rPr>
              <w:t>销售流程为：业务洽谈/招投标——合同评审——签订合同——组织货源——验收——交付</w:t>
            </w:r>
          </w:p>
          <w:p>
            <w:pPr>
              <w:spacing w:line="360" w:lineRule="auto"/>
              <w:rPr>
                <w:rFonts w:hint="eastAsia" w:ascii="宋体" w:hAnsi="宋体"/>
                <w:b w:val="0"/>
                <w:bCs/>
                <w:sz w:val="21"/>
                <w:szCs w:val="21"/>
              </w:rPr>
            </w:pPr>
            <w:r>
              <w:rPr>
                <w:rFonts w:hint="eastAsia" w:ascii="宋体" w:hAnsi="宋体"/>
                <w:b w:val="0"/>
                <w:bCs/>
                <w:sz w:val="21"/>
                <w:szCs w:val="21"/>
              </w:rPr>
              <w:t>特殊过程是销售服务，未提供特殊过程的《特殊过程确认记录》，已开不符合。</w:t>
            </w:r>
          </w:p>
          <w:p>
            <w:pPr>
              <w:spacing w:line="360" w:lineRule="auto"/>
              <w:rPr>
                <w:rFonts w:hint="eastAsia" w:ascii="宋体" w:hAnsi="宋体"/>
                <w:b w:val="0"/>
                <w:bCs/>
                <w:sz w:val="21"/>
                <w:szCs w:val="21"/>
              </w:rPr>
            </w:pPr>
            <w:r>
              <w:rPr>
                <w:rFonts w:hint="eastAsia" w:ascii="宋体" w:hAnsi="宋体"/>
                <w:b w:val="0"/>
                <w:bCs/>
                <w:sz w:val="21"/>
                <w:szCs w:val="21"/>
              </w:rPr>
              <w:t>公司依据客户订单，下达采购计划，进行销售服务、质量及管理工作协调。</w:t>
            </w:r>
          </w:p>
          <w:p>
            <w:pPr>
              <w:spacing w:line="360" w:lineRule="auto"/>
              <w:rPr>
                <w:rFonts w:hint="eastAsia" w:ascii="宋体" w:hAnsi="宋体"/>
                <w:b w:val="0"/>
                <w:bCs/>
                <w:sz w:val="21"/>
                <w:szCs w:val="21"/>
              </w:rPr>
            </w:pPr>
            <w:r>
              <w:rPr>
                <w:rFonts w:hint="eastAsia" w:ascii="宋体" w:hAnsi="宋体"/>
                <w:b w:val="0"/>
                <w:bCs/>
                <w:sz w:val="21"/>
                <w:szCs w:val="21"/>
              </w:rPr>
              <w:t>通过采购产品检验、销售过程检验等对产品质量、销售服务质量等进行监控。</w:t>
            </w:r>
          </w:p>
          <w:p>
            <w:pPr>
              <w:spacing w:line="360" w:lineRule="auto"/>
              <w:rPr>
                <w:rFonts w:hint="eastAsia" w:ascii="宋体" w:hAnsi="宋体"/>
                <w:b w:val="0"/>
                <w:bCs/>
                <w:sz w:val="21"/>
                <w:szCs w:val="21"/>
              </w:rPr>
            </w:pPr>
            <w:r>
              <w:rPr>
                <w:rFonts w:hint="eastAsia" w:ascii="宋体" w:hAnsi="宋体"/>
                <w:b w:val="0"/>
                <w:bCs/>
                <w:sz w:val="21"/>
                <w:szCs w:val="21"/>
              </w:rPr>
              <w:t>为销售服务过程提供了适宜的设备及环境，配备了胜任的人员。</w:t>
            </w:r>
          </w:p>
          <w:p>
            <w:pPr>
              <w:spacing w:line="360" w:lineRule="auto"/>
              <w:rPr>
                <w:rFonts w:ascii="宋体" w:hAnsi="宋体"/>
                <w:b/>
                <w:sz w:val="21"/>
                <w:szCs w:val="21"/>
              </w:rPr>
            </w:pPr>
            <w:r>
              <w:rPr>
                <w:rFonts w:hint="eastAsia" w:ascii="宋体" w:hAnsi="宋体"/>
                <w:b w:val="0"/>
                <w:bCs/>
                <w:sz w:val="21"/>
                <w:szCs w:val="21"/>
              </w:rPr>
              <w:t>目前控制实施能满足要求。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ind w:firstLine="420" w:firstLineChars="200"/>
              <w:rPr>
                <w:rFonts w:ascii="宋体" w:hAnsi="宋体" w:cs="宋体"/>
                <w:sz w:val="21"/>
                <w:szCs w:val="21"/>
              </w:rPr>
            </w:pPr>
            <w:r>
              <w:rPr>
                <w:rFonts w:hint="eastAsia" w:ascii="宋体" w:hAnsi="宋体" w:cs="宋体"/>
                <w:sz w:val="21"/>
                <w:szCs w:val="21"/>
              </w:rPr>
              <w:t>企业参考国家行业主要有：标准《</w:t>
            </w:r>
            <w:r>
              <w:rPr>
                <w:rFonts w:ascii="宋体" w:hAnsi="宋体" w:cs="宋体"/>
                <w:sz w:val="21"/>
                <w:szCs w:val="21"/>
              </w:rPr>
              <w:t>商品经营服务质量管理规范GB/T 16868-2009</w:t>
            </w:r>
            <w:r>
              <w:rPr>
                <w:rFonts w:hint="eastAsia" w:ascii="宋体" w:hAnsi="宋体" w:cs="宋体"/>
                <w:sz w:val="21"/>
                <w:szCs w:val="21"/>
              </w:rPr>
              <w:t>》和客户要求。</w:t>
            </w:r>
          </w:p>
          <w:p>
            <w:pPr>
              <w:spacing w:line="360" w:lineRule="auto"/>
              <w:rPr>
                <w:rFonts w:ascii="宋体" w:hAnsi="宋体"/>
                <w:b/>
                <w:sz w:val="21"/>
                <w:szCs w:val="21"/>
              </w:rPr>
            </w:pPr>
            <w:r>
              <w:rPr>
                <w:rFonts w:hint="eastAsia" w:ascii="宋体" w:hAnsi="宋体" w:cs="宋体"/>
                <w:sz w:val="21"/>
                <w:szCs w:val="21"/>
              </w:rPr>
              <w:t>提供了产品检验记录，产品检验合格，满足顾客要求</w:t>
            </w:r>
          </w:p>
          <w:p>
            <w:pPr>
              <w:spacing w:line="360" w:lineRule="auto"/>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hint="eastAsia"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360" w:lineRule="auto"/>
              <w:ind w:firstLine="205" w:firstLineChars="98"/>
              <w:rPr>
                <w:rFonts w:ascii="宋体" w:hAnsi="宋体"/>
                <w:b/>
                <w:sz w:val="21"/>
                <w:szCs w:val="21"/>
              </w:rPr>
            </w:pPr>
            <w:r>
              <w:rPr>
                <w:rFonts w:hint="eastAsia" w:ascii="宋体" w:hAnsi="宋体" w:cs="宋体"/>
                <w:sz w:val="21"/>
                <w:szCs w:val="21"/>
              </w:rPr>
              <w:t>提供了产品检验记录，产品检验合格，满足顾客要求。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360" w:lineRule="auto"/>
              <w:rPr>
                <w:rFonts w:ascii="宋体" w:hAnsi="宋体"/>
                <w:b/>
                <w:sz w:val="21"/>
                <w:szCs w:val="21"/>
              </w:rPr>
            </w:pPr>
            <w:r>
              <w:rPr>
                <w:rFonts w:hint="eastAsia" w:ascii="宋体" w:hAnsi="宋体" w:eastAsia="宋体" w:cs="宋体"/>
                <w:sz w:val="21"/>
                <w:szCs w:val="21"/>
              </w:rPr>
              <w:t>提供的《不合格品控制程序》中规定了对不合格品的标识、记录、隔离、记录和处置的控制要求。采购检验中发现的不合格，要求做好相应的标识，并及时通知采购人员作退/换货处理</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360" w:lineRule="auto"/>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spacing w:line="360" w:lineRule="auto"/>
              <w:ind w:left="240" w:leftChars="100" w:firstLine="105" w:firstLineChars="50"/>
              <w:jc w:val="lef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720" w:type="dxa"/>
            <w:vMerge w:val="continue"/>
            <w:vAlign w:val="center"/>
          </w:tcPr>
          <w:p>
            <w:pPr>
              <w:spacing w:line="360" w:lineRule="auto"/>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720" w:type="dxa"/>
            <w:vMerge w:val="restart"/>
            <w:textDirection w:val="tbRlV"/>
            <w:vAlign w:val="center"/>
          </w:tcPr>
          <w:p>
            <w:pPr>
              <w:spacing w:line="360" w:lineRule="auto"/>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1.</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360" w:lineRule="auto"/>
              <w:ind w:firstLine="105" w:firstLineChars="50"/>
              <w:rPr>
                <w:rFonts w:ascii="宋体" w:hAnsi="宋体"/>
                <w:b/>
                <w:sz w:val="21"/>
                <w:szCs w:val="21"/>
              </w:rPr>
            </w:pPr>
            <w:r>
              <w:rPr>
                <w:rFonts w:hint="eastAsia" w:ascii="宋体" w:hAnsi="宋体"/>
                <w:sz w:val="21"/>
                <w:szCs w:val="21"/>
              </w:rPr>
              <w:t>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12</w:t>
            </w:r>
            <w:r>
              <w:rPr>
                <w:rFonts w:hint="eastAsia" w:ascii="宋体" w:hAnsi="宋体"/>
                <w:sz w:val="21"/>
                <w:szCs w:val="21"/>
              </w:rPr>
              <w:t>月30日</w:t>
            </w:r>
            <w:r>
              <w:rPr>
                <w:rFonts w:hint="eastAsia" w:ascii="宋体" w:hAnsi="宋体" w:eastAsia="宋体" w:cs="宋体"/>
                <w:sz w:val="21"/>
                <w:szCs w:val="21"/>
                <w:u w:val="none"/>
              </w:rPr>
              <w:t>对质量目标指标进行了检查，能达标。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numPr>
                <w:ilvl w:val="0"/>
                <w:numId w:val="4"/>
              </w:numPr>
              <w:spacing w:line="360" w:lineRule="auto"/>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360" w:lineRule="auto"/>
              <w:ind w:leftChars="-50"/>
              <w:jc w:val="left"/>
              <w:rPr>
                <w:rFonts w:ascii="宋体" w:hAnsi="宋体"/>
                <w:b/>
                <w:sz w:val="21"/>
                <w:szCs w:val="21"/>
              </w:rPr>
            </w:pPr>
            <w:r>
              <w:rPr>
                <w:rFonts w:hint="eastAsia" w:ascii="宋体" w:hAnsi="宋体" w:cs="Times New Roman"/>
                <w:sz w:val="21"/>
                <w:szCs w:val="21"/>
                <w:lang w:val="en-US" w:eastAsia="zh-CN"/>
              </w:rPr>
              <w:t>企业主要通过开展顾客满意度调查来收集并了解顾客满意的信息，查见顾客满意程度调查表。调查表从产品质量、价格、交付时间、售后服务等方面对顾客满意度进行了调查，统计结果表明顾客满意综合率为95.5%，达到了公司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pStyle w:val="4"/>
              <w:numPr>
                <w:ilvl w:val="0"/>
                <w:numId w:val="0"/>
              </w:numPr>
              <w:ind w:firstLine="210" w:firstLineChars="100"/>
              <w:rPr>
                <w:rFonts w:hint="eastAsia" w:ascii="宋体" w:hAnsi="宋体" w:eastAsia="宋体" w:cs="宋体"/>
                <w:color w:val="000000" w:themeColor="text1"/>
                <w:kern w:val="2"/>
                <w:sz w:val="21"/>
                <w:szCs w:val="22"/>
                <w:u w:val="none"/>
                <w:lang w:val="en-US" w:eastAsia="zh-CN" w:bidi="ar-SA"/>
              </w:rPr>
            </w:pPr>
            <w:r>
              <w:rPr>
                <w:rFonts w:hint="eastAsia" w:ascii="宋体" w:hAnsi="宋体" w:eastAsia="宋体" w:cs="宋体"/>
                <w:color w:val="000000" w:themeColor="text1"/>
                <w:kern w:val="2"/>
                <w:sz w:val="21"/>
                <w:szCs w:val="22"/>
                <w:u w:val="none"/>
                <w:lang w:val="en-US" w:eastAsia="zh-CN" w:bidi="ar-SA"/>
              </w:rPr>
              <w:t>每年一次，本次20</w:t>
            </w:r>
            <w:r>
              <w:rPr>
                <w:rFonts w:hint="eastAsia" w:ascii="宋体" w:hAnsi="宋体" w:cs="宋体"/>
                <w:color w:val="000000" w:themeColor="text1"/>
                <w:kern w:val="2"/>
                <w:sz w:val="21"/>
                <w:szCs w:val="22"/>
                <w:u w:val="none"/>
                <w:lang w:val="en-US" w:eastAsia="zh-CN" w:bidi="ar-SA"/>
              </w:rPr>
              <w:t>20</w:t>
            </w:r>
            <w:r>
              <w:rPr>
                <w:rFonts w:hint="eastAsia" w:ascii="宋体" w:hAnsi="宋体" w:eastAsia="宋体" w:cs="宋体"/>
                <w:color w:val="000000" w:themeColor="text1"/>
                <w:kern w:val="2"/>
                <w:sz w:val="21"/>
                <w:szCs w:val="22"/>
                <w:u w:val="none"/>
                <w:lang w:val="en-US" w:eastAsia="zh-CN" w:bidi="ar-SA"/>
              </w:rPr>
              <w:t>.</w:t>
            </w:r>
            <w:r>
              <w:rPr>
                <w:rFonts w:hint="eastAsia" w:ascii="宋体" w:hAnsi="宋体" w:cs="宋体"/>
                <w:color w:val="000000" w:themeColor="text1"/>
                <w:kern w:val="2"/>
                <w:sz w:val="21"/>
                <w:szCs w:val="22"/>
                <w:u w:val="none"/>
                <w:lang w:val="en-US" w:eastAsia="zh-CN" w:bidi="ar-SA"/>
              </w:rPr>
              <w:t>12</w:t>
            </w:r>
            <w:r>
              <w:rPr>
                <w:rFonts w:hint="eastAsia" w:ascii="宋体" w:hAnsi="宋体" w:eastAsia="宋体" w:cs="宋体"/>
                <w:color w:val="000000" w:themeColor="text1"/>
                <w:kern w:val="2"/>
                <w:sz w:val="21"/>
                <w:szCs w:val="22"/>
                <w:u w:val="none"/>
                <w:lang w:val="en-US" w:eastAsia="zh-CN" w:bidi="ar-SA"/>
              </w:rPr>
              <w:t>.</w:t>
            </w:r>
            <w:r>
              <w:rPr>
                <w:rFonts w:hint="eastAsia" w:ascii="宋体" w:hAnsi="宋体" w:cs="宋体"/>
                <w:color w:val="000000" w:themeColor="text1"/>
                <w:kern w:val="2"/>
                <w:sz w:val="21"/>
                <w:szCs w:val="22"/>
                <w:u w:val="none"/>
                <w:lang w:val="en-US" w:eastAsia="zh-CN" w:bidi="ar-SA"/>
              </w:rPr>
              <w:t>8-9</w:t>
            </w:r>
            <w:r>
              <w:rPr>
                <w:rFonts w:hint="eastAsia" w:ascii="宋体" w:hAnsi="宋体" w:eastAsia="宋体" w:cs="宋体"/>
                <w:color w:val="000000" w:themeColor="text1"/>
                <w:kern w:val="2"/>
                <w:sz w:val="21"/>
                <w:szCs w:val="22"/>
                <w:u w:val="none"/>
                <w:lang w:val="en-US" w:eastAsia="zh-CN" w:bidi="ar-SA"/>
              </w:rPr>
              <w:t>内审。</w:t>
            </w:r>
          </w:p>
          <w:p>
            <w:pPr>
              <w:pStyle w:val="4"/>
              <w:numPr>
                <w:ilvl w:val="0"/>
                <w:numId w:val="0"/>
              </w:numPr>
              <w:ind w:firstLine="210" w:firstLineChars="100"/>
              <w:rPr>
                <w:rFonts w:hint="eastAsia" w:ascii="宋体" w:hAnsi="宋体" w:eastAsia="宋体" w:cs="宋体"/>
                <w:color w:val="000000" w:themeColor="text1"/>
                <w:kern w:val="2"/>
                <w:sz w:val="21"/>
                <w:szCs w:val="22"/>
                <w:u w:val="none"/>
                <w:lang w:val="en-US" w:eastAsia="zh-CN" w:bidi="ar-SA"/>
              </w:rPr>
            </w:pPr>
            <w:r>
              <w:rPr>
                <w:rFonts w:hint="eastAsia" w:ascii="宋体" w:hAnsi="宋体" w:eastAsia="宋体" w:cs="宋体"/>
                <w:color w:val="000000" w:themeColor="text1"/>
                <w:kern w:val="2"/>
                <w:sz w:val="21"/>
                <w:szCs w:val="22"/>
                <w:u w:val="none"/>
                <w:lang w:val="en-US" w:eastAsia="zh-CN" w:bidi="ar-SA"/>
              </w:rPr>
              <w:t xml:space="preserve">了解内审是否覆盖了管理体系范围内的活动及标准的要求; </w:t>
            </w:r>
          </w:p>
          <w:p>
            <w:pPr>
              <w:pStyle w:val="4"/>
              <w:numPr>
                <w:ilvl w:val="0"/>
                <w:numId w:val="0"/>
              </w:numPr>
              <w:ind w:firstLine="210" w:firstLineChars="100"/>
              <w:rPr>
                <w:rFonts w:hint="eastAsia" w:ascii="宋体" w:hAnsi="宋体" w:eastAsia="宋体" w:cs="宋体"/>
                <w:color w:val="000000" w:themeColor="text1"/>
                <w:kern w:val="2"/>
                <w:sz w:val="21"/>
                <w:szCs w:val="22"/>
                <w:u w:val="none"/>
                <w:lang w:val="en-US" w:eastAsia="zh-CN" w:bidi="ar-SA"/>
              </w:rPr>
            </w:pPr>
            <w:r>
              <w:rPr>
                <w:rFonts w:hint="eastAsia" w:ascii="宋体" w:hAnsi="宋体" w:eastAsia="宋体" w:cs="宋体"/>
                <w:color w:val="000000" w:themeColor="text1"/>
                <w:kern w:val="2"/>
                <w:sz w:val="21"/>
                <w:szCs w:val="22"/>
                <w:u w:val="none"/>
                <w:lang w:val="en-US" w:eastAsia="zh-CN" w:bidi="ar-SA"/>
              </w:rPr>
              <w:t>覆盖。</w:t>
            </w:r>
          </w:p>
          <w:p>
            <w:pPr>
              <w:pStyle w:val="4"/>
              <w:numPr>
                <w:ilvl w:val="0"/>
                <w:numId w:val="0"/>
              </w:numPr>
              <w:ind w:firstLine="210" w:firstLineChars="100"/>
              <w:rPr>
                <w:rFonts w:hint="eastAsia" w:ascii="宋体" w:hAnsi="宋体" w:eastAsia="宋体" w:cs="宋体"/>
                <w:color w:val="000000" w:themeColor="text1"/>
                <w:kern w:val="2"/>
                <w:sz w:val="21"/>
                <w:szCs w:val="22"/>
                <w:u w:val="none"/>
                <w:lang w:val="en-US" w:eastAsia="zh-CN" w:bidi="ar-SA"/>
              </w:rPr>
            </w:pPr>
            <w:r>
              <w:rPr>
                <w:rFonts w:hint="eastAsia" w:ascii="宋体" w:hAnsi="宋体" w:eastAsia="宋体" w:cs="宋体"/>
                <w:color w:val="000000" w:themeColor="text1"/>
                <w:kern w:val="2"/>
                <w:sz w:val="21"/>
                <w:szCs w:val="22"/>
                <w:u w:val="none"/>
                <w:lang w:val="en-US" w:eastAsia="zh-CN" w:bidi="ar-SA"/>
              </w:rPr>
              <w:t>了解内审结论是什么？</w:t>
            </w:r>
          </w:p>
          <w:p>
            <w:pPr>
              <w:spacing w:line="360" w:lineRule="auto"/>
              <w:rPr>
                <w:rFonts w:ascii="宋体" w:hAnsi="宋体"/>
                <w:b/>
                <w:sz w:val="21"/>
                <w:szCs w:val="21"/>
              </w:rPr>
            </w:pPr>
            <w:r>
              <w:rPr>
                <w:rFonts w:hint="eastAsia" w:ascii="宋体" w:hAnsi="宋体" w:eastAsia="宋体" w:cs="宋体"/>
                <w:color w:val="000000" w:themeColor="text1"/>
                <w:kern w:val="2"/>
                <w:sz w:val="21"/>
                <w:szCs w:val="22"/>
                <w:u w:val="none"/>
                <w:lang w:val="en-US" w:eastAsia="zh-CN" w:bidi="ar-SA"/>
              </w:rPr>
              <w:t>本公司质量管理体系符合公司管理手册、程序性文件、ISO9001:2015的要求，公司质量管理体系得到了有效实施，运行实施保持了适宜性。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360" w:lineRule="auto"/>
              <w:ind w:left="113" w:right="113"/>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360" w:lineRule="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 xml:space="preserve">了解管理评审的策划; </w:t>
            </w:r>
          </w:p>
          <w:p>
            <w:pPr>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每年一次，</w:t>
            </w:r>
            <w:bookmarkStart w:id="26" w:name="_GoBack"/>
            <w:r>
              <w:rPr>
                <w:rFonts w:hint="eastAsia" w:ascii="宋体" w:hAnsi="宋体" w:eastAsia="宋体" w:cs="宋体"/>
                <w:b w:val="0"/>
                <w:bCs/>
                <w:sz w:val="21"/>
                <w:szCs w:val="21"/>
              </w:rPr>
              <w:t xml:space="preserve"> 20</w:t>
            </w:r>
            <w:r>
              <w:rPr>
                <w:rFonts w:hint="eastAsia" w:ascii="宋体" w:hAnsi="宋体" w:eastAsia="宋体" w:cs="宋体"/>
                <w:b w:val="0"/>
                <w:bCs/>
                <w:sz w:val="21"/>
                <w:szCs w:val="21"/>
                <w:lang w:val="en-US" w:eastAsia="zh-CN"/>
              </w:rPr>
              <w:t>20</w:t>
            </w:r>
            <w:r>
              <w:rPr>
                <w:rFonts w:hint="eastAsia" w:ascii="宋体" w:hAnsi="宋体" w:eastAsia="宋体" w:cs="宋体"/>
                <w:b w:val="0"/>
                <w:bCs/>
                <w:sz w:val="21"/>
                <w:szCs w:val="21"/>
              </w:rPr>
              <w:t>年</w:t>
            </w:r>
            <w:r>
              <w:rPr>
                <w:rFonts w:hint="eastAsia" w:ascii="宋体" w:hAnsi="宋体" w:eastAsia="宋体" w:cs="宋体"/>
                <w:b w:val="0"/>
                <w:bCs/>
                <w:sz w:val="21"/>
                <w:szCs w:val="21"/>
                <w:lang w:val="en-US" w:eastAsia="zh-CN"/>
              </w:rPr>
              <w:t>12</w:t>
            </w:r>
            <w:r>
              <w:rPr>
                <w:rFonts w:hint="eastAsia" w:ascii="宋体" w:hAnsi="宋体" w:eastAsia="宋体" w:cs="宋体"/>
                <w:b w:val="0"/>
                <w:bCs/>
                <w:sz w:val="21"/>
                <w:szCs w:val="21"/>
              </w:rPr>
              <w:t>月</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0日</w:t>
            </w:r>
            <w:bookmarkEnd w:id="26"/>
            <w:r>
              <w:rPr>
                <w:rFonts w:hint="eastAsia" w:ascii="宋体" w:hAnsi="宋体" w:eastAsia="宋体" w:cs="宋体"/>
                <w:b w:val="0"/>
                <w:bCs/>
                <w:sz w:val="21"/>
                <w:szCs w:val="21"/>
              </w:rPr>
              <w:t>管理评审。</w:t>
            </w:r>
          </w:p>
          <w:p>
            <w:pPr>
              <w:spacing w:line="360" w:lineRule="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 xml:space="preserve">了解管理评审输入是否充分; </w:t>
            </w:r>
          </w:p>
          <w:p>
            <w:pPr>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输入基本充分。</w:t>
            </w:r>
          </w:p>
          <w:p>
            <w:pPr>
              <w:spacing w:line="360" w:lineRule="auto"/>
              <w:rPr>
                <w:rFonts w:hint="eastAsia" w:ascii="宋体" w:hAnsi="宋体" w:eastAsia="宋体" w:cs="宋体"/>
                <w:b w:val="0"/>
                <w:bCs/>
                <w:color w:val="000000" w:themeColor="text1"/>
                <w:sz w:val="21"/>
                <w:szCs w:val="21"/>
              </w:rPr>
            </w:pPr>
            <w:r>
              <w:rPr>
                <w:rFonts w:hint="eastAsia" w:ascii="宋体" w:hAnsi="宋体" w:eastAsia="宋体" w:cs="宋体"/>
                <w:b w:val="0"/>
                <w:bCs/>
                <w:color w:val="000000" w:themeColor="text1"/>
                <w:sz w:val="21"/>
                <w:szCs w:val="21"/>
              </w:rPr>
              <w:t xml:space="preserve">了解管理评审结论; </w:t>
            </w:r>
          </w:p>
          <w:p>
            <w:pPr>
              <w:spacing w:line="360" w:lineRule="auto"/>
              <w:rPr>
                <w:rFonts w:ascii="宋体" w:hAnsi="宋体"/>
                <w:b/>
                <w:sz w:val="21"/>
                <w:szCs w:val="21"/>
              </w:rPr>
            </w:pPr>
            <w:r>
              <w:rPr>
                <w:rFonts w:hint="eastAsia" w:ascii="宋体" w:hAnsi="宋体" w:eastAsia="宋体" w:cs="宋体"/>
                <w:b w:val="0"/>
                <w:bCs/>
                <w:sz w:val="21"/>
                <w:szCs w:val="21"/>
              </w:rPr>
              <w:t>管理体系文件运行是有效的，方针和目标的贯彻是有效的。没有发生质量投诉，运行符合法律法规的要求。领导的重视为体系的运行创造了有利条件。为保证</w:t>
            </w:r>
            <w:r>
              <w:rPr>
                <w:rFonts w:hint="eastAsia" w:ascii="宋体" w:hAnsi="宋体" w:eastAsia="宋体" w:cs="宋体"/>
                <w:b w:val="0"/>
                <w:bCs/>
                <w:sz w:val="21"/>
                <w:szCs w:val="21"/>
                <w:lang w:val="en-US" w:eastAsia="zh-CN"/>
              </w:rPr>
              <w:t>质量</w:t>
            </w:r>
            <w:r>
              <w:rPr>
                <w:rFonts w:hint="eastAsia" w:ascii="宋体" w:hAnsi="宋体" w:eastAsia="宋体" w:cs="宋体"/>
                <w:b w:val="0"/>
                <w:bCs/>
                <w:sz w:val="21"/>
                <w:szCs w:val="21"/>
              </w:rPr>
              <w:t>体系的持续正常有效运行，对运行中存在的问题根据实际情况及时纠正。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continue"/>
            <w:vAlign w:val="center"/>
          </w:tcPr>
          <w:p>
            <w:pPr>
              <w:spacing w:line="360" w:lineRule="auto"/>
              <w:jc w:val="center"/>
              <w:rPr>
                <w:b/>
                <w:sz w:val="20"/>
              </w:rPr>
            </w:pPr>
          </w:p>
        </w:tc>
        <w:tc>
          <w:tcPr>
            <w:tcW w:w="9198" w:type="dxa"/>
          </w:tcPr>
          <w:p>
            <w:pPr>
              <w:widowControl/>
              <w:spacing w:line="360" w:lineRule="auto"/>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restart"/>
            <w:vAlign w:val="center"/>
          </w:tcPr>
          <w:p>
            <w:pPr>
              <w:spacing w:line="360" w:lineRule="auto"/>
              <w:ind w:left="113" w:right="113"/>
              <w:jc w:val="center"/>
              <w:rPr>
                <w:rFonts w:ascii="宋体" w:hAnsi="宋体"/>
                <w:b/>
                <w:szCs w:val="21"/>
              </w:rPr>
            </w:pPr>
            <w:r>
              <w:rPr>
                <w:rFonts w:hint="eastAsia" w:ascii="宋体" w:hAnsi="宋体"/>
                <w:b/>
                <w:szCs w:val="21"/>
              </w:rPr>
              <w:t>(五)持</w:t>
            </w:r>
          </w:p>
          <w:p>
            <w:pPr>
              <w:spacing w:line="360" w:lineRule="auto"/>
              <w:ind w:left="113" w:right="113"/>
              <w:jc w:val="center"/>
              <w:rPr>
                <w:rFonts w:ascii="宋体" w:hAnsi="宋体"/>
                <w:b/>
                <w:szCs w:val="21"/>
              </w:rPr>
            </w:pPr>
            <w:r>
              <w:rPr>
                <w:rFonts w:hint="eastAsia" w:ascii="宋体" w:hAnsi="宋体"/>
                <w:b/>
                <w:szCs w:val="21"/>
              </w:rPr>
              <w:t>续</w:t>
            </w:r>
          </w:p>
          <w:p>
            <w:pPr>
              <w:spacing w:line="360" w:lineRule="auto"/>
              <w:ind w:left="113" w:right="113"/>
              <w:jc w:val="center"/>
              <w:rPr>
                <w:rFonts w:ascii="宋体" w:hAnsi="宋体"/>
                <w:b/>
                <w:szCs w:val="21"/>
              </w:rPr>
            </w:pPr>
            <w:r>
              <w:rPr>
                <w:rFonts w:hint="eastAsia" w:ascii="宋体" w:hAnsi="宋体"/>
                <w:b/>
                <w:szCs w:val="21"/>
              </w:rPr>
              <w:t>改</w:t>
            </w:r>
          </w:p>
          <w:p>
            <w:pPr>
              <w:spacing w:line="360" w:lineRule="auto"/>
              <w:ind w:left="113" w:right="113"/>
              <w:jc w:val="center"/>
              <w:rPr>
                <w:b/>
                <w:sz w:val="20"/>
              </w:rPr>
            </w:pPr>
            <w:r>
              <w:rPr>
                <w:rFonts w:hint="eastAsia" w:ascii="宋体" w:hAnsi="宋体"/>
                <w:b/>
                <w:szCs w:val="21"/>
              </w:rPr>
              <w:t>进</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360" w:lineRule="auto"/>
              <w:rPr>
                <w:rFonts w:ascii="宋体" w:hAnsi="宋体"/>
                <w:b/>
                <w:sz w:val="21"/>
                <w:szCs w:val="21"/>
              </w:rPr>
            </w:pPr>
            <w:r>
              <w:rPr>
                <w:rFonts w:hint="eastAsia"/>
                <w:bCs/>
                <w:color w:val="000000" w:themeColor="text1"/>
                <w:sz w:val="21"/>
                <w:szCs w:val="21"/>
              </w:rPr>
              <w:t>组织编制了《纠正措施和预防措施控制程序》对纠正预防措施识别、评审、验证，事故事件报告、调查、处理等作了规定，其内容符合组织实际及标准要求。针对内审管理评审提出的问题已采取了纠正措施。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360" w:lineRule="auto"/>
              <w:rPr>
                <w:rFonts w:ascii="宋体" w:hAnsi="宋体"/>
                <w:b/>
                <w:sz w:val="21"/>
                <w:szCs w:val="21"/>
              </w:rPr>
            </w:pPr>
            <w:r>
              <w:rPr>
                <w:rFonts w:hint="eastAsia"/>
                <w:bCs/>
                <w:color w:val="000000" w:themeColor="text1"/>
                <w:szCs w:val="21"/>
                <w:lang w:val="en-US" w:eastAsia="zh-CN"/>
              </w:rPr>
              <w:t>无</w:t>
            </w:r>
            <w:r>
              <w:rPr>
                <w:rFonts w:hint="eastAsia"/>
                <w:bCs/>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0" w:type="dxa"/>
            <w:vMerge w:val="continue"/>
            <w:vAlign w:val="center"/>
          </w:tcPr>
          <w:p>
            <w:pPr>
              <w:spacing w:line="360" w:lineRule="auto"/>
              <w:jc w:val="center"/>
              <w:rPr>
                <w:b/>
                <w:sz w:val="20"/>
              </w:rPr>
            </w:pPr>
          </w:p>
        </w:tc>
        <w:tc>
          <w:tcPr>
            <w:tcW w:w="9198" w:type="dxa"/>
          </w:tcPr>
          <w:p>
            <w:pPr>
              <w:spacing w:line="360" w:lineRule="auto"/>
              <w:rPr>
                <w:rFonts w:hint="eastAsia" w:ascii="宋体" w:hAnsi="宋体" w:cs="Times New Roman"/>
                <w:b/>
                <w:sz w:val="21"/>
                <w:szCs w:val="21"/>
              </w:rPr>
            </w:pPr>
            <w:r>
              <w:rPr>
                <w:rFonts w:hint="eastAsia" w:ascii="宋体" w:hAnsi="宋体" w:cs="Times New Roman"/>
                <w:b/>
                <w:sz w:val="21"/>
                <w:szCs w:val="21"/>
                <w:lang w:val="en-US" w:eastAsia="zh-CN"/>
              </w:rPr>
              <w:t>3.</w:t>
            </w:r>
            <w:r>
              <w:rPr>
                <w:rFonts w:hint="eastAsia" w:ascii="宋体" w:hAnsi="宋体" w:cs="Times New Roman"/>
                <w:b/>
                <w:sz w:val="21"/>
                <w:szCs w:val="21"/>
              </w:rPr>
              <w:t>创新情况</w:t>
            </w:r>
          </w:p>
          <w:p>
            <w:pPr>
              <w:spacing w:line="360" w:lineRule="auto"/>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360" w:lineRule="auto"/>
              <w:jc w:val="center"/>
              <w:rPr>
                <w:b/>
                <w:sz w:val="20"/>
              </w:rPr>
            </w:pPr>
          </w:p>
        </w:tc>
        <w:tc>
          <w:tcPr>
            <w:tcW w:w="9198" w:type="dxa"/>
          </w:tcPr>
          <w:p>
            <w:pPr>
              <w:numPr>
                <w:ilvl w:val="0"/>
                <w:numId w:val="4"/>
              </w:numPr>
              <w:spacing w:line="360" w:lineRule="auto"/>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360" w:lineRule="auto"/>
              <w:rPr>
                <w:rFonts w:ascii="宋体" w:hAnsi="宋体"/>
                <w:b/>
                <w:sz w:val="21"/>
                <w:szCs w:val="21"/>
              </w:rPr>
            </w:pPr>
            <w:r>
              <w:rPr>
                <w:rFonts w:hint="eastAsia" w:ascii="Times New Roman" w:hAnsi="Times New Roman" w:cs="Times New Roman"/>
                <w:bCs/>
                <w:color w:val="000000" w:themeColor="text1"/>
                <w:sz w:val="21"/>
                <w:szCs w:val="21"/>
              </w:rPr>
              <w:t>已完成整改。</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8"/>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8"/>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4"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360" w:lineRule="auto"/>
              <w:ind w:firstLine="210" w:firstLineChars="100"/>
              <w:rPr>
                <w:rFonts w:ascii="宋体" w:hAnsi="宋体"/>
                <w:b/>
                <w:szCs w:val="21"/>
              </w:rPr>
            </w:pPr>
            <w:r>
              <w:rPr>
                <w:rFonts w:hint="eastAsia" w:ascii="宋体" w:hAnsi="宋体" w:eastAsia="宋体" w:cs="宋体"/>
                <w:bCs/>
                <w:color w:val="000000"/>
                <w:sz w:val="21"/>
                <w:szCs w:val="21"/>
              </w:rPr>
              <w:t>组织体系运行满足标准要求，既定目标能达成，向顾客提供稳定、合格产品，满足适用的质量法规要求</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体系运行基本适宜、充分、有效，基本建立自我完善机制。</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tabs>
          <w:tab w:val="left" w:pos="645"/>
        </w:tabs>
        <w:spacing w:after="163" w:afterLines="50" w:line="360" w:lineRule="exact"/>
        <w:rPr>
          <w:b/>
          <w:sz w:val="16"/>
          <w:szCs w:val="16"/>
        </w:rPr>
      </w:pPr>
      <w:r>
        <w:drawing>
          <wp:anchor distT="0" distB="0" distL="114300" distR="114300" simplePos="0" relativeHeight="251659264" behindDoc="0" locked="0" layoutInCell="1" allowOverlap="1">
            <wp:simplePos x="0" y="0"/>
            <wp:positionH relativeFrom="column">
              <wp:posOffset>1773555</wp:posOffset>
            </wp:positionH>
            <wp:positionV relativeFrom="paragraph">
              <wp:posOffset>332105</wp:posOffset>
            </wp:positionV>
            <wp:extent cx="402590" cy="318770"/>
            <wp:effectExtent l="0" t="0" r="3810"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02590" cy="31877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2021.2.8</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lang w:val="en-US" w:eastAsia="zh-CN"/>
        </w:rPr>
        <w:t xml:space="preserve">  </w:t>
      </w:r>
      <w:r>
        <w:rPr>
          <w:b/>
          <w:sz w:val="21"/>
          <w:szCs w:val="21"/>
        </w:rPr>
        <w:t>)</w:t>
      </w:r>
      <w:r>
        <w:rPr>
          <w:rFonts w:hint="eastAsia"/>
          <w:b/>
          <w:sz w:val="21"/>
          <w:szCs w:val="21"/>
        </w:rPr>
        <w:t>个一般不符合，</w:t>
      </w:r>
      <w:r>
        <w:rPr>
          <w:rFonts w:hint="eastAsia"/>
          <w:b/>
          <w:sz w:val="21"/>
          <w:szCs w:val="21"/>
          <w:lang w:val="en-US" w:eastAsia="zh-CN"/>
        </w:rPr>
        <w:t xml:space="preserve"> </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b/>
          <w:sz w:val="21"/>
          <w:szCs w:val="21"/>
          <w:u w:val="single"/>
        </w:rPr>
      </w:pPr>
      <w:r>
        <w:drawing>
          <wp:anchor distT="0" distB="0" distL="114300" distR="114300" simplePos="0" relativeHeight="251661312" behindDoc="0" locked="0" layoutInCell="1" allowOverlap="1">
            <wp:simplePos x="0" y="0"/>
            <wp:positionH relativeFrom="column">
              <wp:posOffset>1315085</wp:posOffset>
            </wp:positionH>
            <wp:positionV relativeFrom="paragraph">
              <wp:posOffset>116840</wp:posOffset>
            </wp:positionV>
            <wp:extent cx="402590" cy="318770"/>
            <wp:effectExtent l="0" t="0" r="3810" b="1143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02590" cy="318770"/>
                    </a:xfrm>
                    <a:prstGeom prst="rect">
                      <a:avLst/>
                    </a:prstGeom>
                    <a:noFill/>
                    <a:ln>
                      <a:noFill/>
                    </a:ln>
                  </pic:spPr>
                </pic:pic>
              </a:graphicData>
            </a:graphic>
          </wp:anchor>
        </w:drawing>
      </w:r>
      <w:r>
        <w:rPr>
          <w:rFonts w:hint="eastAsia"/>
          <w:b/>
          <w:sz w:val="21"/>
          <w:szCs w:val="21"/>
        </w:rPr>
        <w:t>组长签字：</w:t>
      </w:r>
    </w:p>
    <w:p>
      <w:pPr>
        <w:ind w:left="783" w:hanging="783" w:hangingChars="300"/>
        <w:rPr>
          <w:rFonts w:hint="eastAsia"/>
          <w:b/>
          <w:sz w:val="26"/>
          <w:szCs w:val="26"/>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AEA9C3"/>
    <w:multiLevelType w:val="singleLevel"/>
    <w:tmpl w:val="BFAEA9C3"/>
    <w:lvl w:ilvl="0" w:tentative="0">
      <w:start w:val="2"/>
      <w:numFmt w:val="decimal"/>
      <w:suff w:val="nothing"/>
      <w:lvlText w:val="%1、"/>
      <w:lvlJc w:val="left"/>
    </w:lvl>
  </w:abstractNum>
  <w:abstractNum w:abstractNumId="1">
    <w:nsid w:val="140864C2"/>
    <w:multiLevelType w:val="singleLevel"/>
    <w:tmpl w:val="140864C2"/>
    <w:lvl w:ilvl="0" w:tentative="0">
      <w:start w:val="3"/>
      <w:numFmt w:val="decimal"/>
      <w:lvlText w:val="%1."/>
      <w:lvlJc w:val="left"/>
      <w:pPr>
        <w:tabs>
          <w:tab w:val="left" w:pos="312"/>
        </w:tabs>
      </w:p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3D41DFA"/>
    <w:multiLevelType w:val="singleLevel"/>
    <w:tmpl w:val="53D41DFA"/>
    <w:lvl w:ilvl="0" w:tentative="0">
      <w:start w:val="2"/>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0A1E8C"/>
    <w:rsid w:val="34414635"/>
    <w:rsid w:val="66745CCC"/>
    <w:rsid w:val="70873907"/>
    <w:rsid w:val="7D314C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3"/>
    <w:qFormat/>
    <w:locked/>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after="120"/>
    </w:pPr>
  </w:style>
  <w:style w:type="paragraph" w:styleId="5">
    <w:name w:val="Balloon Text"/>
    <w:basedOn w:val="1"/>
    <w:link w:val="11"/>
    <w:semiHidden/>
    <w:qFormat/>
    <w:uiPriority w:val="99"/>
    <w:rPr>
      <w:sz w:val="18"/>
      <w:szCs w:val="18"/>
    </w:rPr>
  </w:style>
  <w:style w:type="paragraph" w:styleId="6">
    <w:name w:val="footer"/>
    <w:basedOn w:val="1"/>
    <w:link w:val="12"/>
    <w:semiHidden/>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6"/>
    <w:semiHidden/>
    <w:qFormat/>
    <w:locked/>
    <w:uiPriority w:val="99"/>
    <w:rPr>
      <w:rFonts w:ascii="Times New Roman" w:hAnsi="Times New Roman" w:eastAsia="宋体" w:cs="Times New Roman"/>
      <w:sz w:val="18"/>
      <w:szCs w:val="18"/>
    </w:rPr>
  </w:style>
  <w:style w:type="character" w:customStyle="1" w:styleId="13">
    <w:name w:val="页眉 Char"/>
    <w:link w:val="7"/>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7</TotalTime>
  <ScaleCrop>false</ScaleCrop>
  <LinksUpToDate>false</LinksUpToDate>
  <CharactersWithSpaces>4294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LIL</cp:lastModifiedBy>
  <cp:lastPrinted>2019-04-18T08:15:00Z</cp:lastPrinted>
  <dcterms:modified xsi:type="dcterms:W3CDTF">2021-02-23T14:35:46Z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