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唐山顺华混凝土有限公司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供销部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审核发现，未提供对产品运输方进行了评价，并施加了环境职业健康安全影响的证据。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w:t>
            </w:r>
            <w:r>
              <w:rPr>
                <w:rFonts w:hint="eastAsia" w:ascii="宋体" w:hAnsi="宋体"/>
                <w:b/>
                <w:sz w:val="22"/>
                <w:szCs w:val="22"/>
                <w:lang w:val="en-US" w:eastAsia="zh-CN"/>
              </w:rPr>
              <w:t>20</w:t>
            </w:r>
            <w:r>
              <w:rPr>
                <w:rFonts w:hint="eastAsia" w:ascii="宋体" w:hAnsi="宋体"/>
                <w:b/>
                <w:sz w:val="22"/>
                <w:szCs w:val="22"/>
              </w:rPr>
              <w:t xml:space="preserve"> idt ISO</w:t>
            </w:r>
            <w:r>
              <w:rPr>
                <w:rFonts w:hint="eastAsia" w:ascii="宋体" w:hAnsi="宋体"/>
                <w:b/>
                <w:sz w:val="22"/>
                <w:szCs w:val="22"/>
                <w:lang w:val="en-US" w:eastAsia="zh-CN"/>
              </w:rPr>
              <w:t xml:space="preserve"> </w:t>
            </w:r>
            <w:r>
              <w:rPr>
                <w:rFonts w:hint="eastAsia" w:ascii="宋体" w:hAnsi="宋体"/>
                <w:b/>
                <w:sz w:val="22"/>
                <w:szCs w:val="22"/>
              </w:rPr>
              <w:t>45001</w:t>
            </w:r>
            <w:r>
              <w:rPr>
                <w:rFonts w:hint="eastAsia" w:ascii="宋体" w:hAnsi="宋体"/>
                <w:b/>
                <w:sz w:val="22"/>
                <w:szCs w:val="22"/>
                <w:lang w:val="en-US" w:eastAsia="zh-CN"/>
              </w:rPr>
              <w:t>:</w:t>
            </w:r>
            <w:r>
              <w:rPr>
                <w:rFonts w:hint="eastAsia" w:ascii="宋体" w:hAnsi="宋体"/>
                <w:b/>
                <w:sz w:val="22"/>
                <w:szCs w:val="22"/>
              </w:rPr>
              <w:t xml:space="preserve">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drawing>
                <wp:anchor distT="0" distB="0" distL="114300" distR="114300" simplePos="0" relativeHeight="251669504" behindDoc="0" locked="0" layoutInCell="1" allowOverlap="1">
                  <wp:simplePos x="0" y="0"/>
                  <wp:positionH relativeFrom="column">
                    <wp:posOffset>5407660</wp:posOffset>
                  </wp:positionH>
                  <wp:positionV relativeFrom="paragraph">
                    <wp:posOffset>17145</wp:posOffset>
                  </wp:positionV>
                  <wp:extent cx="692150" cy="463550"/>
                  <wp:effectExtent l="0" t="0" r="6350" b="635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692150" cy="463550"/>
                          </a:xfrm>
                          <a:prstGeom prst="rect">
                            <a:avLst/>
                          </a:prstGeom>
                          <a:noFill/>
                          <a:ln>
                            <a:noFill/>
                          </a:ln>
                        </pic:spPr>
                      </pic:pic>
                    </a:graphicData>
                  </a:graphic>
                </wp:anchor>
              </w:drawing>
            </w:r>
            <w:r>
              <w:rPr>
                <w:rFonts w:hint="eastAsia" w:ascii="宋体" w:hAnsi="宋体" w:eastAsia="宋体"/>
                <w:sz w:val="21"/>
                <w:lang w:eastAsia="zh-CN"/>
              </w:rPr>
              <w:drawing>
                <wp:anchor distT="0" distB="0" distL="114300" distR="114300" simplePos="0" relativeHeight="251663360" behindDoc="0" locked="0" layoutInCell="1" allowOverlap="1">
                  <wp:simplePos x="0" y="0"/>
                  <wp:positionH relativeFrom="column">
                    <wp:posOffset>3020060</wp:posOffset>
                  </wp:positionH>
                  <wp:positionV relativeFrom="paragraph">
                    <wp:posOffset>41910</wp:posOffset>
                  </wp:positionV>
                  <wp:extent cx="963930" cy="464185"/>
                  <wp:effectExtent l="0" t="0" r="0" b="0"/>
                  <wp:wrapNone/>
                  <wp:docPr id="3"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0904151347"/>
                          <pic:cNvPicPr>
                            <a:picLocks noChangeAspect="1"/>
                          </pic:cNvPicPr>
                        </pic:nvPicPr>
                        <pic:blipFill>
                          <a:blip r:embed="rId7"/>
                          <a:stretch>
                            <a:fillRect/>
                          </a:stretch>
                        </pic:blipFill>
                        <pic:spPr>
                          <a:xfrm>
                            <a:off x="0" y="0"/>
                            <a:ext cx="963930" cy="464185"/>
                          </a:xfrm>
                          <a:prstGeom prst="rect">
                            <a:avLst/>
                          </a:prstGeom>
                          <a:noFill/>
                          <a:ln>
                            <a:noFill/>
                          </a:ln>
                        </pic:spPr>
                      </pic:pic>
                    </a:graphicData>
                  </a:graphic>
                </wp:anchor>
              </w:drawing>
            </w:r>
            <w:r>
              <w:rPr>
                <w:rFonts w:hint="eastAsia" w:ascii="宋体" w:eastAsia="宋体"/>
                <w:b/>
                <w:color w:val="000000"/>
                <w:lang w:eastAsia="zh-CN"/>
              </w:rPr>
              <w:drawing>
                <wp:anchor distT="0" distB="0" distL="114300" distR="114300" simplePos="0" relativeHeight="251668480" behindDoc="0" locked="0" layoutInCell="1" allowOverlap="1">
                  <wp:simplePos x="0" y="0"/>
                  <wp:positionH relativeFrom="column">
                    <wp:posOffset>1364615</wp:posOffset>
                  </wp:positionH>
                  <wp:positionV relativeFrom="paragraph">
                    <wp:posOffset>105410</wp:posOffset>
                  </wp:positionV>
                  <wp:extent cx="1007110" cy="440055"/>
                  <wp:effectExtent l="0" t="0" r="8890" b="4445"/>
                  <wp:wrapNone/>
                  <wp:docPr id="4"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32f67c90857df5b6493e827f97d2b6"/>
                          <pic:cNvPicPr>
                            <a:picLocks noChangeAspect="1"/>
                          </pic:cNvPicPr>
                        </pic:nvPicPr>
                        <pic:blipFill>
                          <a:blip r:embed="rId8"/>
                          <a:stretch>
                            <a:fillRect/>
                          </a:stretch>
                        </pic:blipFill>
                        <pic:spPr>
                          <a:xfrm>
                            <a:off x="0" y="0"/>
                            <a:ext cx="1007110" cy="440055"/>
                          </a:xfrm>
                          <a:prstGeom prst="rect">
                            <a:avLst/>
                          </a:prstGeom>
                          <a:noFill/>
                          <a:ln>
                            <a:noFill/>
                          </a:ln>
                        </pic:spPr>
                      </pic:pic>
                    </a:graphicData>
                  </a:graphic>
                </wp:anchor>
              </w:drawing>
            </w:r>
            <w:r>
              <w:rPr>
                <w:rFonts w:hint="eastAsia" w:ascii="宋体" w:hAnsi="宋体" w:eastAsia="宋体"/>
                <w:sz w:val="21"/>
                <w:lang w:eastAsia="zh-CN"/>
              </w:rPr>
              <w:drawing>
                <wp:anchor distT="0" distB="0" distL="114300" distR="114300" simplePos="0" relativeHeight="251660288" behindDoc="0" locked="0" layoutInCell="1" allowOverlap="1">
                  <wp:simplePos x="0" y="0"/>
                  <wp:positionH relativeFrom="column">
                    <wp:posOffset>434340</wp:posOffset>
                  </wp:positionH>
                  <wp:positionV relativeFrom="paragraph">
                    <wp:posOffset>41910</wp:posOffset>
                  </wp:positionV>
                  <wp:extent cx="963930" cy="4641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7"/>
                          <a:stretch>
                            <a:fillRect/>
                          </a:stretch>
                        </pic:blipFill>
                        <pic:spPr>
                          <a:xfrm>
                            <a:off x="0" y="0"/>
                            <a:ext cx="963930" cy="464185"/>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 xml:space="preserve">审核员：                     </w:t>
            </w:r>
            <w:r>
              <w:rPr>
                <w:rFonts w:hint="eastAsia" w:ascii="方正仿宋简体" w:eastAsia="方正仿宋简体"/>
                <w:b/>
                <w:sz w:val="24"/>
                <w:lang w:val="en-US" w:eastAsia="zh-CN"/>
              </w:rPr>
              <w:t xml:space="preserve">  </w:t>
            </w:r>
            <w:r>
              <w:rPr>
                <w:rFonts w:hint="eastAsia" w:ascii="方正仿宋简体" w:eastAsia="方正仿宋简体"/>
                <w:b/>
                <w:sz w:val="24"/>
              </w:rPr>
              <w:t>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2021.2.9</w:t>
            </w:r>
            <w:r>
              <w:rPr>
                <w:rFonts w:hint="eastAsia" w:ascii="方正仿宋简体" w:eastAsia="方正仿宋简体"/>
                <w:b/>
                <w:sz w:val="24"/>
              </w:rPr>
              <w:t xml:space="preserve">               日    期：</w:t>
            </w:r>
            <w:r>
              <w:rPr>
                <w:rFonts w:hint="eastAsia" w:ascii="方正仿宋简体" w:eastAsia="方正仿宋简体"/>
                <w:b/>
                <w:sz w:val="24"/>
                <w:lang w:val="en-US" w:eastAsia="zh-CN"/>
              </w:rPr>
              <w:t>2021.2.9</w:t>
            </w:r>
            <w:r>
              <w:rPr>
                <w:rFonts w:hint="eastAsia" w:ascii="方正仿宋简体" w:eastAsia="方正仿宋简体"/>
                <w:b/>
                <w:sz w:val="24"/>
              </w:rPr>
              <w:t xml:space="preserve">        日    期：</w:t>
            </w:r>
            <w:r>
              <w:rPr>
                <w:rFonts w:hint="eastAsia" w:ascii="方正仿宋简体" w:eastAsia="方正仿宋简体"/>
                <w:b/>
                <w:sz w:val="24"/>
                <w:lang w:val="en-US" w:eastAsia="zh-CN"/>
              </w:rPr>
              <w:t>2021.2.9</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提供了“供方评价记录”“致相关方的公开信”“培训记录”，</w:t>
            </w:r>
          </w:p>
          <w:p>
            <w:pPr>
              <w:spacing w:before="120" w:line="360" w:lineRule="auto"/>
              <w:rPr>
                <w:rFonts w:ascii="方正仿宋简体" w:eastAsia="方正仿宋简体"/>
                <w:b/>
              </w:rPr>
            </w:pPr>
            <w:r>
              <w:rPr>
                <w:rFonts w:hint="eastAsia" w:ascii="方正仿宋简体" w:eastAsia="方正仿宋简体"/>
                <w:b/>
                <w:lang w:val="en-US" w:eastAsia="zh-CN"/>
              </w:rPr>
              <w:t>经验证，采取的措施有效。</w:t>
            </w: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宋体" w:hAnsi="宋体" w:eastAsia="宋体"/>
                <w:sz w:val="21"/>
                <w:lang w:eastAsia="zh-CN"/>
              </w:rPr>
              <w:drawing>
                <wp:anchor distT="0" distB="0" distL="114300" distR="114300" simplePos="0" relativeHeight="251675648" behindDoc="0" locked="0" layoutInCell="1" allowOverlap="1">
                  <wp:simplePos x="0" y="0"/>
                  <wp:positionH relativeFrom="column">
                    <wp:posOffset>3743960</wp:posOffset>
                  </wp:positionH>
                  <wp:positionV relativeFrom="paragraph">
                    <wp:posOffset>290830</wp:posOffset>
                  </wp:positionV>
                  <wp:extent cx="963930" cy="464185"/>
                  <wp:effectExtent l="0" t="0" r="0" b="0"/>
                  <wp:wrapNone/>
                  <wp:docPr id="6"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图片_20190904151347"/>
                          <pic:cNvPicPr>
                            <a:picLocks noChangeAspect="1"/>
                          </pic:cNvPicPr>
                        </pic:nvPicPr>
                        <pic:blipFill>
                          <a:blip r:embed="rId7"/>
                          <a:stretch>
                            <a:fillRect/>
                          </a:stretch>
                        </pic:blipFill>
                        <pic:spPr>
                          <a:xfrm>
                            <a:off x="0" y="0"/>
                            <a:ext cx="963930" cy="464185"/>
                          </a:xfrm>
                          <a:prstGeom prst="rect">
                            <a:avLst/>
                          </a:prstGeom>
                          <a:noFill/>
                          <a:ln>
                            <a:noFill/>
                          </a:ln>
                        </pic:spPr>
                      </pic:pic>
                    </a:graphicData>
                  </a:graphic>
                </wp:anchor>
              </w:drawing>
            </w: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日期：</w:t>
            </w:r>
            <w:r>
              <w:rPr>
                <w:rFonts w:hint="eastAsia" w:ascii="方正仿宋简体" w:eastAsia="方正仿宋简体"/>
                <w:b/>
                <w:lang w:val="en-US" w:eastAsia="zh-CN"/>
              </w:rPr>
              <w:t>2021.2.18</w:t>
            </w:r>
            <w:r>
              <w:rPr>
                <w:rFonts w:hint="eastAsia" w:ascii="方正仿宋简体" w:eastAsia="方正仿宋简体"/>
                <w:b/>
              </w:rPr>
              <w:t xml:space="preserve">       </w:t>
            </w:r>
          </w:p>
        </w:tc>
      </w:tr>
    </w:tbl>
    <w:p>
      <w:pPr>
        <w:rPr>
          <w:rFonts w:eastAsia="黑体"/>
          <w:sz w:val="24"/>
        </w:rPr>
      </w:pPr>
      <w:r>
        <w:rPr>
          <w:rFonts w:eastAsia="黑体"/>
          <w:sz w:val="24"/>
        </w:rPr>
        <w:br w:type="page"/>
      </w:r>
    </w:p>
    <w:p>
      <w:pPr>
        <w:rPr>
          <w:rFonts w:eastAsia="黑体"/>
          <w:sz w:val="24"/>
        </w:rPr>
      </w:pPr>
      <w:r>
        <w:rPr>
          <w:rFonts w:hint="eastAsia" w:eastAsia="黑体"/>
          <w:b/>
          <w:lang w:eastAsia="zh-CN"/>
        </w:rPr>
        <w:drawing>
          <wp:anchor distT="0" distB="0" distL="114300" distR="114300" simplePos="0" relativeHeight="251676672" behindDoc="0" locked="0" layoutInCell="1" allowOverlap="1">
            <wp:simplePos x="0" y="0"/>
            <wp:positionH relativeFrom="column">
              <wp:posOffset>-1029970</wp:posOffset>
            </wp:positionH>
            <wp:positionV relativeFrom="paragraph">
              <wp:posOffset>1280160</wp:posOffset>
            </wp:positionV>
            <wp:extent cx="8262620" cy="5748655"/>
            <wp:effectExtent l="0" t="0" r="4445" b="5080"/>
            <wp:wrapNone/>
            <wp:docPr id="7" name="图片 7" descr="文件审核报告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审核报告 002"/>
                    <pic:cNvPicPr>
                      <a:picLocks noChangeAspect="1"/>
                    </pic:cNvPicPr>
                  </pic:nvPicPr>
                  <pic:blipFill>
                    <a:blip r:embed="rId9"/>
                    <a:stretch>
                      <a:fillRect/>
                    </a:stretch>
                  </pic:blipFill>
                  <pic:spPr>
                    <a:xfrm rot="5400000">
                      <a:off x="0" y="0"/>
                      <a:ext cx="8262620" cy="5748655"/>
                    </a:xfrm>
                    <a:prstGeom prst="rect">
                      <a:avLst/>
                    </a:prstGeom>
                  </pic:spPr>
                </pic:pic>
              </a:graphicData>
            </a:graphic>
          </wp:anchor>
        </w:drawing>
      </w:r>
    </w:p>
    <w:p>
      <w:pPr>
        <w:rPr>
          <w:rFonts w:eastAsia="黑体"/>
          <w:sz w:val="24"/>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rPr>
          <w:rFonts w:hint="eastAsia" w:eastAsia="黑体"/>
          <w:b/>
          <w:lang w:eastAsia="zh-CN"/>
        </w:rPr>
      </w:pPr>
    </w:p>
    <w:p>
      <w:pPr>
        <w:ind w:firstLine="3520" w:firstLineChars="1100"/>
        <w:jc w:val="both"/>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148"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sz w:val="30"/>
                <w:lang w:val="en-US" w:eastAsia="zh-CN"/>
              </w:rPr>
            </w:pPr>
            <w:r>
              <w:rPr>
                <w:sz w:val="30"/>
              </w:rPr>
              <w:t>20</w:t>
            </w:r>
            <w:r>
              <w:rPr>
                <w:rFonts w:hint="eastAsia"/>
                <w:sz w:val="30"/>
                <w:lang w:val="en-US" w:eastAsia="zh-CN"/>
              </w:rPr>
              <w:t>21.2.10</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地</w:t>
            </w:r>
            <w:r>
              <w:rPr>
                <w:sz w:val="28"/>
                <w:szCs w:val="28"/>
              </w:rPr>
              <w:t xml:space="preserve">  </w:t>
            </w:r>
            <w:r>
              <w:rPr>
                <w:rFonts w:hint="eastAsia"/>
                <w:sz w:val="28"/>
                <w:szCs w:val="28"/>
              </w:rPr>
              <w:t>点</w:t>
            </w:r>
          </w:p>
        </w:tc>
        <w:tc>
          <w:tcPr>
            <w:tcW w:w="279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30"/>
                <w:lang w:eastAsia="zh-CN"/>
              </w:rPr>
            </w:pPr>
            <w:r>
              <w:rPr>
                <w:rFonts w:hint="eastAsia"/>
                <w:sz w:val="30"/>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主</w:t>
            </w:r>
            <w:r>
              <w:rPr>
                <w:sz w:val="28"/>
                <w:szCs w:val="28"/>
              </w:rPr>
              <w:t xml:space="preserve">  </w:t>
            </w:r>
            <w:r>
              <w:rPr>
                <w:rFonts w:hint="eastAsia"/>
                <w:sz w:val="28"/>
                <w:szCs w:val="28"/>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eastAsia="宋体"/>
                <w:sz w:val="28"/>
                <w:szCs w:val="28"/>
                <w:lang w:val="en-US" w:eastAsia="zh-CN"/>
              </w:rPr>
            </w:pPr>
            <w:r>
              <w:rPr>
                <w:rFonts w:hint="eastAsia"/>
                <w:sz w:val="28"/>
                <w:szCs w:val="28"/>
                <w:lang w:val="en-US" w:eastAsia="zh-CN"/>
              </w:rPr>
              <w:t>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color w:val="FF0000"/>
                <w:sz w:val="28"/>
                <w:szCs w:val="28"/>
              </w:rPr>
            </w:pPr>
            <w:r>
              <w:rPr>
                <w:rFonts w:hint="eastAsia"/>
                <w:sz w:val="28"/>
                <w:szCs w:val="28"/>
                <w:lang w:val="en-US" w:eastAsia="zh-CN"/>
              </w:rPr>
              <w:t>供销部</w:t>
            </w:r>
            <w:r>
              <w:rPr>
                <w:rFonts w:hint="eastAsia"/>
                <w:sz w:val="28"/>
                <w:szCs w:val="28"/>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培</w:t>
            </w:r>
          </w:p>
          <w:p>
            <w:pPr>
              <w:jc w:val="center"/>
              <w:rPr>
                <w:sz w:val="28"/>
                <w:szCs w:val="28"/>
              </w:rPr>
            </w:pPr>
            <w:r>
              <w:rPr>
                <w:rFonts w:hint="eastAsia"/>
                <w:sz w:val="28"/>
                <w:szCs w:val="28"/>
              </w:rPr>
              <w:t>训</w:t>
            </w:r>
          </w:p>
          <w:p>
            <w:pPr>
              <w:jc w:val="center"/>
              <w:rPr>
                <w:sz w:val="28"/>
                <w:szCs w:val="28"/>
              </w:rPr>
            </w:pPr>
            <w:r>
              <w:rPr>
                <w:rFonts w:hint="eastAsia"/>
                <w:sz w:val="28"/>
                <w:szCs w:val="28"/>
              </w:rPr>
              <w:t>主</w:t>
            </w:r>
          </w:p>
          <w:p>
            <w:pPr>
              <w:jc w:val="center"/>
              <w:rPr>
                <w:sz w:val="28"/>
                <w:szCs w:val="28"/>
              </w:rPr>
            </w:pPr>
            <w:r>
              <w:rPr>
                <w:rFonts w:hint="eastAsia"/>
                <w:sz w:val="28"/>
                <w:szCs w:val="28"/>
              </w:rPr>
              <w:t>要</w:t>
            </w:r>
          </w:p>
          <w:p>
            <w:pPr>
              <w:jc w:val="center"/>
              <w:rPr>
                <w:sz w:val="28"/>
                <w:szCs w:val="28"/>
              </w:rPr>
            </w:pPr>
            <w:r>
              <w:rPr>
                <w:rFonts w:hint="eastAsia"/>
                <w:sz w:val="28"/>
                <w:szCs w:val="28"/>
              </w:rPr>
              <w:t>内</w:t>
            </w:r>
          </w:p>
          <w:p>
            <w:pPr>
              <w:jc w:val="center"/>
              <w:rPr>
                <w:sz w:val="28"/>
                <w:szCs w:val="28"/>
              </w:rPr>
            </w:pPr>
            <w:r>
              <w:rPr>
                <w:rFonts w:hint="eastAsia"/>
                <w:sz w:val="28"/>
                <w:szCs w:val="28"/>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1、</w:t>
            </w:r>
            <w:r>
              <w:rPr>
                <w:rFonts w:hint="eastAsia" w:ascii="Times New Roman" w:hAnsi="Times New Roman" w:eastAsia="宋体"/>
                <w:sz w:val="28"/>
                <w:szCs w:val="28"/>
              </w:rPr>
              <w:t>GB/T19001-2016标准的</w:t>
            </w:r>
            <w:r>
              <w:rPr>
                <w:rFonts w:hint="eastAsia" w:ascii="Times New Roman" w:hAnsi="Times New Roman" w:eastAsia="宋体"/>
                <w:sz w:val="28"/>
                <w:szCs w:val="28"/>
                <w:lang w:val="en-US" w:eastAsia="zh-CN"/>
              </w:rPr>
              <w:t>8.4.1</w:t>
            </w:r>
            <w:r>
              <w:rPr>
                <w:rFonts w:hint="eastAsia" w:ascii="Times New Roman" w:hAnsi="Times New Roman" w:eastAsia="宋体"/>
                <w:sz w:val="28"/>
                <w:szCs w:val="28"/>
              </w:rPr>
              <w:t>条款，GB/T24001-2016标准的</w:t>
            </w:r>
            <w:r>
              <w:rPr>
                <w:rFonts w:hint="eastAsia" w:ascii="Times New Roman" w:hAnsi="Times New Roman" w:eastAsia="宋体"/>
                <w:sz w:val="28"/>
                <w:szCs w:val="28"/>
                <w:lang w:val="en-US" w:eastAsia="zh-CN"/>
              </w:rPr>
              <w:t>8.1</w:t>
            </w:r>
            <w:r>
              <w:rPr>
                <w:rFonts w:hint="eastAsia" w:ascii="Times New Roman" w:hAnsi="Times New Roman" w:eastAsia="宋体"/>
                <w:sz w:val="28"/>
                <w:szCs w:val="28"/>
              </w:rPr>
              <w:t>条款，</w:t>
            </w:r>
            <w:r>
              <w:rPr>
                <w:rFonts w:hint="eastAsia"/>
                <w:sz w:val="28"/>
                <w:szCs w:val="28"/>
                <w:lang w:val="en-US" w:eastAsia="zh-CN"/>
              </w:rPr>
              <w:t>GB/T</w:t>
            </w:r>
            <w:r>
              <w:rPr>
                <w:rFonts w:hint="eastAsia" w:ascii="Times New Roman" w:hAnsi="Times New Roman" w:eastAsia="宋体"/>
                <w:sz w:val="28"/>
                <w:szCs w:val="28"/>
                <w:lang w:val="en-US" w:eastAsia="zh-CN"/>
              </w:rPr>
              <w:t>45001</w:t>
            </w:r>
            <w:r>
              <w:rPr>
                <w:rFonts w:hint="eastAsia"/>
                <w:sz w:val="28"/>
                <w:szCs w:val="28"/>
                <w:lang w:val="en-US" w:eastAsia="zh-CN"/>
              </w:rPr>
              <w:t>-2020</w:t>
            </w:r>
            <w:r>
              <w:rPr>
                <w:rFonts w:hint="eastAsia" w:ascii="Times New Roman" w:hAnsi="Times New Roman" w:eastAsia="宋体"/>
                <w:sz w:val="28"/>
                <w:szCs w:val="28"/>
              </w:rPr>
              <w:t>标准的</w:t>
            </w:r>
            <w:r>
              <w:rPr>
                <w:rFonts w:hint="eastAsia" w:ascii="Times New Roman" w:hAnsi="Times New Roman" w:eastAsia="宋体"/>
                <w:sz w:val="28"/>
                <w:szCs w:val="28"/>
                <w:lang w:val="en-US" w:eastAsia="zh-CN"/>
              </w:rPr>
              <w:t>8.1.4</w:t>
            </w:r>
            <w:r>
              <w:rPr>
                <w:rFonts w:hint="eastAsia" w:ascii="Times New Roman" w:hAnsi="Times New Roman" w:eastAsia="宋体"/>
                <w:sz w:val="28"/>
                <w:szCs w:val="28"/>
              </w:rPr>
              <w:t>条款</w:t>
            </w:r>
            <w:r>
              <w:rPr>
                <w:rFonts w:ascii="Times New Roman" w:hAnsi="Times New Roman" w:eastAsia="宋体"/>
                <w:sz w:val="28"/>
                <w:szCs w:val="28"/>
              </w:rPr>
              <w:t>内容及其理解；</w:t>
            </w:r>
          </w:p>
          <w:p>
            <w:pPr>
              <w:spacing w:line="360" w:lineRule="auto"/>
              <w:rPr>
                <w:rFonts w:ascii="Times New Roman" w:hAnsi="Times New Roman" w:eastAsia="宋体"/>
                <w:sz w:val="28"/>
                <w:szCs w:val="28"/>
              </w:rPr>
            </w:pPr>
            <w:r>
              <w:rPr>
                <w:rFonts w:ascii="Times New Roman" w:hAnsi="Times New Roman" w:eastAsia="宋体"/>
                <w:sz w:val="28"/>
                <w:szCs w:val="28"/>
              </w:rPr>
              <w:t>2、本公司管理体系文件相关内容；</w:t>
            </w:r>
          </w:p>
          <w:p>
            <w:pPr>
              <w:numPr>
                <w:ilvl w:val="0"/>
                <w:numId w:val="0"/>
              </w:numPr>
              <w:rPr>
                <w:rFonts w:hint="eastAsia" w:ascii="Times New Roman" w:hAnsi="Times New Roman" w:eastAsia="宋体" w:cs="Times New Roman"/>
                <w:sz w:val="28"/>
                <w:szCs w:val="28"/>
                <w:lang w:eastAsia="zh-CN"/>
              </w:rPr>
            </w:pPr>
            <w:r>
              <w:rPr>
                <w:rFonts w:hint="eastAsia" w:ascii="Times New Roman" w:hAnsi="Times New Roman" w:eastAsia="宋体"/>
                <w:sz w:val="28"/>
                <w:szCs w:val="28"/>
                <w:lang w:val="en-US" w:eastAsia="zh-CN"/>
              </w:rPr>
              <w:t>3、</w:t>
            </w:r>
            <w:r>
              <w:rPr>
                <w:rFonts w:ascii="Times New Roman" w:hAnsi="Times New Roman" w:eastAsia="宋体"/>
                <w:sz w:val="28"/>
                <w:szCs w:val="28"/>
              </w:rPr>
              <w:t>纠正措施实施控制要求</w:t>
            </w:r>
            <w:r>
              <w:rPr>
                <w:rFonts w:hint="eastAsia" w:ascii="Times New Roman" w:hAnsi="Times New Roman" w:eastAsia="宋体"/>
                <w:sz w:val="28"/>
                <w:szCs w:val="28"/>
                <w:lang w:eastAsia="zh-CN"/>
              </w:rPr>
              <w:t>。</w:t>
            </w:r>
          </w:p>
          <w:p>
            <w:pP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考</w:t>
            </w:r>
          </w:p>
          <w:p>
            <w:pPr>
              <w:jc w:val="center"/>
              <w:rPr>
                <w:sz w:val="28"/>
                <w:szCs w:val="28"/>
              </w:rPr>
            </w:pPr>
            <w:r>
              <w:rPr>
                <w:rFonts w:hint="eastAsia"/>
                <w:sz w:val="28"/>
                <w:szCs w:val="28"/>
              </w:rPr>
              <w:t>核</w:t>
            </w:r>
          </w:p>
          <w:p>
            <w:pPr>
              <w:jc w:val="center"/>
              <w:rPr>
                <w:sz w:val="28"/>
                <w:szCs w:val="28"/>
              </w:rPr>
            </w:pPr>
            <w:r>
              <w:rPr>
                <w:rFonts w:hint="eastAsia"/>
                <w:sz w:val="28"/>
                <w:szCs w:val="28"/>
              </w:rPr>
              <w:t>评</w:t>
            </w:r>
          </w:p>
          <w:p>
            <w:pPr>
              <w:jc w:val="center"/>
              <w:rPr>
                <w:sz w:val="28"/>
                <w:szCs w:val="28"/>
              </w:rPr>
            </w:pPr>
            <w:r>
              <w:rPr>
                <w:rFonts w:hint="eastAsia"/>
                <w:sz w:val="28"/>
                <w:szCs w:val="28"/>
              </w:rPr>
              <w:t>价</w:t>
            </w:r>
          </w:p>
          <w:p>
            <w:pPr>
              <w:jc w:val="center"/>
              <w:rPr>
                <w:sz w:val="28"/>
                <w:szCs w:val="28"/>
              </w:rPr>
            </w:pPr>
            <w:r>
              <w:rPr>
                <w:rFonts w:hint="eastAsia"/>
                <w:sz w:val="28"/>
                <w:szCs w:val="28"/>
              </w:rPr>
              <w:t>情</w:t>
            </w:r>
          </w:p>
          <w:p>
            <w:pPr>
              <w:jc w:val="center"/>
              <w:rPr>
                <w:sz w:val="28"/>
                <w:szCs w:val="28"/>
              </w:rPr>
            </w:pPr>
            <w:r>
              <w:rPr>
                <w:rFonts w:hint="eastAsia"/>
                <w:sz w:val="28"/>
                <w:szCs w:val="28"/>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p>
            <w:pPr>
              <w:rPr>
                <w:sz w:val="28"/>
                <w:szCs w:val="28"/>
              </w:rPr>
            </w:pPr>
            <w:r>
              <w:rPr>
                <w:rFonts w:hint="eastAsia"/>
                <w:sz w:val="28"/>
                <w:szCs w:val="28"/>
              </w:rPr>
              <w:t>经过培训讲解，提问、交流等形式进行评价，培训效果良好，达到了预期目的。</w:t>
            </w:r>
          </w:p>
          <w:p>
            <w:pPr>
              <w:rPr>
                <w:sz w:val="30"/>
              </w:rPr>
            </w:pPr>
          </w:p>
          <w:p>
            <w:pPr>
              <w:rPr>
                <w:rFonts w:hint="eastAsia" w:eastAsia="宋体"/>
                <w:sz w:val="28"/>
                <w:szCs w:val="28"/>
                <w:lang w:val="en-US" w:eastAsia="zh-CN"/>
              </w:rPr>
            </w:pPr>
            <w:r>
              <w:rPr>
                <w:sz w:val="30"/>
              </w:rPr>
              <w:t xml:space="preserve">       </w:t>
            </w:r>
            <w:r>
              <w:rPr>
                <w:sz w:val="28"/>
                <w:szCs w:val="28"/>
              </w:rPr>
              <w:t xml:space="preserve">  </w:t>
            </w:r>
            <w:r>
              <w:rPr>
                <w:rFonts w:hint="eastAsia"/>
                <w:sz w:val="28"/>
                <w:szCs w:val="28"/>
                <w:lang w:val="en-US" w:eastAsia="zh-CN"/>
              </w:rPr>
              <w:t xml:space="preserve">             </w:t>
            </w:r>
            <w:r>
              <w:rPr>
                <w:rFonts w:hint="eastAsia"/>
                <w:sz w:val="28"/>
                <w:szCs w:val="28"/>
              </w:rPr>
              <w:t>评价人</w:t>
            </w:r>
            <w:r>
              <w:rPr>
                <w:rFonts w:hint="eastAsia"/>
                <w:sz w:val="28"/>
                <w:szCs w:val="28"/>
                <w:lang w:eastAsia="zh-CN"/>
              </w:rPr>
              <w:t>：</w:t>
            </w:r>
            <w:r>
              <w:rPr>
                <w:rFonts w:hint="eastAsia"/>
                <w:sz w:val="28"/>
                <w:szCs w:val="28"/>
                <w:lang w:val="en-US" w:eastAsia="zh-CN"/>
              </w:rPr>
              <w:t>张鑫</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w:t>
            </w:r>
            <w:r>
              <w:rPr>
                <w:rFonts w:hint="eastAsia"/>
                <w:sz w:val="28"/>
                <w:szCs w:val="28"/>
                <w:lang w:val="en-US" w:eastAsia="zh-CN"/>
              </w:rPr>
              <w:t>21</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10</w:t>
            </w:r>
            <w:r>
              <w:rPr>
                <w:rFonts w:hint="eastAsia"/>
                <w:sz w:val="28"/>
                <w:szCs w:val="28"/>
              </w:rPr>
              <w:t>日</w:t>
            </w:r>
          </w:p>
          <w:p>
            <w:pPr>
              <w:rPr>
                <w:rFonts w:hint="eastAsia"/>
                <w:sz w:val="28"/>
                <w:szCs w:val="28"/>
              </w:rPr>
            </w:pPr>
          </w:p>
        </w:tc>
      </w:tr>
    </w:tbl>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jc w:val="center"/>
        <w:rPr>
          <w:rFonts w:hint="eastAsia"/>
          <w:b/>
          <w:sz w:val="36"/>
          <w:szCs w:val="36"/>
        </w:rPr>
      </w:pPr>
      <w:r>
        <w:rPr>
          <w:rFonts w:hint="eastAsia"/>
          <w:b/>
          <w:sz w:val="36"/>
          <w:szCs w:val="36"/>
        </w:rPr>
        <w:t>供方评价记录表</w:t>
      </w:r>
    </w:p>
    <w:p>
      <w:pPr>
        <w:spacing w:line="360" w:lineRule="auto"/>
        <w:rPr>
          <w:rFonts w:hint="eastAsia"/>
        </w:rPr>
      </w:pPr>
      <w:r>
        <w:rPr>
          <w:rFonts w:hint="eastAsia"/>
          <w:sz w:val="24"/>
          <w:szCs w:val="21"/>
        </w:rPr>
        <w:t xml:space="preserve">   </w:t>
      </w:r>
      <w:r>
        <w:rPr>
          <w:rFonts w:hint="eastAsia" w:ascii="宋体" w:hAnsi="宋体"/>
          <w:color w:val="000000"/>
          <w:sz w:val="24"/>
        </w:rPr>
        <w:t xml:space="preserve"> </w:t>
      </w:r>
      <w:r>
        <w:rPr>
          <w:rFonts w:hint="eastAsia"/>
        </w:rPr>
        <w:t xml:space="preserve">                                                      序号：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94"/>
        <w:gridCol w:w="3066"/>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供方名称</w:t>
            </w:r>
          </w:p>
        </w:tc>
        <w:tc>
          <w:tcPr>
            <w:tcW w:w="3960" w:type="dxa"/>
            <w:gridSpan w:val="2"/>
            <w:noWrap w:val="0"/>
            <w:vAlign w:val="top"/>
          </w:tcPr>
          <w:p>
            <w:pPr>
              <w:spacing w:line="360" w:lineRule="auto"/>
              <w:jc w:val="center"/>
              <w:rPr>
                <w:rFonts w:hint="default" w:eastAsia="宋体"/>
                <w:sz w:val="24"/>
                <w:lang w:val="en-US" w:eastAsia="zh-CN"/>
              </w:rPr>
            </w:pPr>
            <w:r>
              <w:rPr>
                <w:rFonts w:hint="eastAsia"/>
                <w:szCs w:val="21"/>
                <w:lang w:val="en-US" w:eastAsia="zh-CN"/>
              </w:rPr>
              <w:t>天津市蓟州区侯健货物运输中心</w:t>
            </w:r>
          </w:p>
        </w:tc>
        <w:tc>
          <w:tcPr>
            <w:tcW w:w="1440" w:type="dxa"/>
            <w:noWrap w:val="0"/>
            <w:vAlign w:val="top"/>
          </w:tcPr>
          <w:p>
            <w:pPr>
              <w:spacing w:line="360" w:lineRule="auto"/>
              <w:jc w:val="center"/>
              <w:rPr>
                <w:rFonts w:hint="eastAsia"/>
                <w:sz w:val="24"/>
              </w:rPr>
            </w:pPr>
            <w:r>
              <w:rPr>
                <w:rFonts w:hint="eastAsia"/>
                <w:sz w:val="24"/>
              </w:rPr>
              <w:t>联系人</w:t>
            </w:r>
          </w:p>
        </w:tc>
        <w:tc>
          <w:tcPr>
            <w:tcW w:w="2340" w:type="dxa"/>
            <w:noWrap w:val="0"/>
            <w:vAlign w:val="top"/>
          </w:tcPr>
          <w:p>
            <w:pPr>
              <w:spacing w:line="360" w:lineRule="auto"/>
              <w:jc w:val="center"/>
              <w:rPr>
                <w:rFonts w:hint="eastAsia" w:eastAsia="宋体"/>
                <w:sz w:val="24"/>
                <w:lang w:eastAsia="zh-CN"/>
              </w:rPr>
            </w:pPr>
            <w:r>
              <w:rPr>
                <w:rFonts w:hint="eastAsia"/>
                <w:sz w:val="24"/>
                <w:lang w:val="en-US" w:eastAsia="zh-CN"/>
              </w:rPr>
              <w:t xml:space="preserve">侯健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地址/邮编</w:t>
            </w:r>
          </w:p>
        </w:tc>
        <w:tc>
          <w:tcPr>
            <w:tcW w:w="3960" w:type="dxa"/>
            <w:gridSpan w:val="2"/>
            <w:noWrap w:val="0"/>
            <w:vAlign w:val="top"/>
          </w:tcPr>
          <w:p>
            <w:pPr>
              <w:spacing w:line="360" w:lineRule="auto"/>
              <w:jc w:val="center"/>
              <w:rPr>
                <w:rFonts w:hint="default" w:eastAsia="宋体"/>
                <w:sz w:val="24"/>
                <w:lang w:val="en-US" w:eastAsia="zh-CN"/>
              </w:rPr>
            </w:pPr>
            <w:r>
              <w:rPr>
                <w:rFonts w:hint="default" w:ascii="Times New Roman" w:hAnsi="Times New Roman" w:cs="Times New Roman"/>
                <w:szCs w:val="21"/>
                <w:lang w:val="en-US" w:eastAsia="zh-CN"/>
              </w:rPr>
              <w:t>天津市别山镇西史各庄村3区5排13号</w:t>
            </w:r>
          </w:p>
        </w:tc>
        <w:tc>
          <w:tcPr>
            <w:tcW w:w="1440" w:type="dxa"/>
            <w:noWrap w:val="0"/>
            <w:vAlign w:val="center"/>
          </w:tcPr>
          <w:p>
            <w:pPr>
              <w:spacing w:line="360" w:lineRule="auto"/>
              <w:jc w:val="center"/>
              <w:rPr>
                <w:rFonts w:hint="eastAsia"/>
                <w:sz w:val="24"/>
              </w:rPr>
            </w:pPr>
            <w:r>
              <w:rPr>
                <w:rFonts w:hint="eastAsia"/>
                <w:sz w:val="24"/>
              </w:rPr>
              <w:t>电话</w:t>
            </w:r>
          </w:p>
        </w:tc>
        <w:tc>
          <w:tcPr>
            <w:tcW w:w="2340" w:type="dxa"/>
            <w:noWrap w:val="0"/>
            <w:vAlign w:val="center"/>
          </w:tcPr>
          <w:p>
            <w:pPr>
              <w:spacing w:line="360" w:lineRule="auto"/>
              <w:jc w:val="center"/>
              <w:rPr>
                <w:rFonts w:hint="default" w:eastAsia="宋体"/>
                <w:sz w:val="24"/>
                <w:lang w:val="en-US" w:eastAsia="zh-CN"/>
              </w:rPr>
            </w:pPr>
            <w:r>
              <w:rPr>
                <w:rFonts w:hint="eastAsia"/>
                <w:sz w:val="24"/>
                <w:lang w:val="en-US" w:eastAsia="zh-CN"/>
              </w:rPr>
              <w:t>18833355573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提供产品</w:t>
            </w:r>
          </w:p>
        </w:tc>
        <w:tc>
          <w:tcPr>
            <w:tcW w:w="7740" w:type="dxa"/>
            <w:gridSpan w:val="4"/>
            <w:noWrap w:val="0"/>
            <w:vAlign w:val="top"/>
          </w:tcPr>
          <w:p>
            <w:pPr>
              <w:spacing w:line="360" w:lineRule="auto"/>
              <w:jc w:val="center"/>
              <w:rPr>
                <w:rFonts w:hint="default" w:eastAsia="宋体"/>
                <w:sz w:val="24"/>
                <w:lang w:val="en-US" w:eastAsia="zh-CN"/>
              </w:rPr>
            </w:pPr>
            <w:r>
              <w:rPr>
                <w:rFonts w:hint="eastAsia"/>
                <w:szCs w:val="21"/>
                <w:lang w:val="en-US" w:eastAsia="zh-CN"/>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48" w:type="dxa"/>
            <w:gridSpan w:val="5"/>
            <w:noWrap w:val="0"/>
            <w:vAlign w:val="center"/>
          </w:tcPr>
          <w:p>
            <w:pPr>
              <w:spacing w:line="360" w:lineRule="auto"/>
              <w:jc w:val="center"/>
              <w:rPr>
                <w:rFonts w:hint="eastAsia"/>
                <w:sz w:val="24"/>
              </w:rPr>
            </w:pPr>
            <w:r>
              <w:rPr>
                <w:rFonts w:hint="eastAsia"/>
                <w:sz w:val="24"/>
              </w:rPr>
              <w:t>供方质量保证能力评价记录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质量体系</w:t>
            </w:r>
          </w:p>
          <w:p>
            <w:pPr>
              <w:spacing w:line="360" w:lineRule="auto"/>
              <w:jc w:val="center"/>
              <w:rPr>
                <w:rFonts w:hint="eastAsia"/>
                <w:sz w:val="24"/>
              </w:rPr>
            </w:pPr>
            <w:r>
              <w:rPr>
                <w:rFonts w:hint="eastAsia"/>
                <w:sz w:val="24"/>
              </w:rPr>
              <w:t>认证情况</w:t>
            </w:r>
          </w:p>
        </w:tc>
        <w:tc>
          <w:tcPr>
            <w:tcW w:w="6846" w:type="dxa"/>
            <w:gridSpan w:val="3"/>
            <w:noWrap w:val="0"/>
            <w:vAlign w:val="center"/>
          </w:tcPr>
          <w:p>
            <w:pPr>
              <w:spacing w:line="360" w:lineRule="auto"/>
              <w:rPr>
                <w:rFonts w:hint="eastAsia"/>
                <w:sz w:val="24"/>
              </w:rPr>
            </w:pPr>
            <w:r>
              <w:rPr>
                <w:rFonts w:hint="eastAsia" w:ascii="宋体" w:hAnsi="宋体" w:cs="宋体"/>
                <w:sz w:val="24"/>
              </w:rPr>
              <w:t>■</w:t>
            </w:r>
            <w:r>
              <w:rPr>
                <w:rFonts w:hint="eastAsia"/>
                <w:sz w:val="24"/>
              </w:rPr>
              <w:t>已通过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生产能力和供应能力情况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能及时供应所需</w:t>
            </w:r>
            <w:r>
              <w:rPr>
                <w:rFonts w:hint="eastAsia"/>
                <w:sz w:val="24"/>
                <w:lang w:val="en-US" w:eastAsia="zh-CN"/>
              </w:rPr>
              <w:t>服务</w:t>
            </w:r>
            <w:r>
              <w:rPr>
                <w:rFonts w:hint="eastAsia"/>
                <w:sz w:val="24"/>
              </w:rPr>
              <w:t xml:space="preserve">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历史及社会</w:t>
            </w:r>
          </w:p>
          <w:p>
            <w:pPr>
              <w:spacing w:line="360" w:lineRule="auto"/>
              <w:jc w:val="center"/>
              <w:rPr>
                <w:rFonts w:hint="eastAsia"/>
                <w:sz w:val="24"/>
              </w:rPr>
            </w:pPr>
            <w:r>
              <w:rPr>
                <w:rFonts w:hint="eastAsia"/>
                <w:sz w:val="24"/>
              </w:rPr>
              <w:t>信誉情况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02" w:type="dxa"/>
            <w:gridSpan w:val="2"/>
            <w:noWrap w:val="0"/>
            <w:vAlign w:val="center"/>
          </w:tcPr>
          <w:p>
            <w:pPr>
              <w:spacing w:line="360" w:lineRule="auto"/>
              <w:jc w:val="center"/>
              <w:rPr>
                <w:rFonts w:hint="eastAsia"/>
                <w:sz w:val="24"/>
              </w:rPr>
            </w:pPr>
            <w:r>
              <w:rPr>
                <w:rFonts w:hint="eastAsia"/>
                <w:sz w:val="24"/>
              </w:rPr>
              <w:t>质量及以往 使用情况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质量稳定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主管部门对该单位的推荐意见：</w:t>
            </w:r>
          </w:p>
          <w:p>
            <w:pPr>
              <w:spacing w:line="360" w:lineRule="auto"/>
              <w:jc w:val="left"/>
              <w:rPr>
                <w:rFonts w:hint="eastAsia"/>
                <w:sz w:val="24"/>
              </w:rPr>
            </w:pPr>
            <w:r>
              <w:rPr>
                <w:rFonts w:hint="eastAsia"/>
                <w:sz w:val="24"/>
              </w:rPr>
              <w:t xml:space="preserve">   与该公司合作多年，未发生</w:t>
            </w:r>
            <w:r>
              <w:rPr>
                <w:rFonts w:hint="eastAsia"/>
                <w:sz w:val="24"/>
                <w:lang w:val="en-US" w:eastAsia="zh-CN"/>
              </w:rPr>
              <w:t>货物损失情况</w:t>
            </w:r>
            <w:r>
              <w:rPr>
                <w:rFonts w:hint="eastAsia"/>
                <w:sz w:val="24"/>
              </w:rPr>
              <w:t>，</w:t>
            </w:r>
            <w:r>
              <w:rPr>
                <w:rFonts w:hint="eastAsia"/>
                <w:sz w:val="24"/>
                <w:lang w:val="en-US" w:eastAsia="zh-CN"/>
              </w:rPr>
              <w:t>且快速准时，</w:t>
            </w:r>
            <w:r>
              <w:rPr>
                <w:rFonts w:hint="eastAsia"/>
                <w:sz w:val="24"/>
              </w:rPr>
              <w:t>符合我公司要求。</w:t>
            </w:r>
          </w:p>
          <w:p>
            <w:pPr>
              <w:spacing w:line="360" w:lineRule="auto"/>
              <w:jc w:val="left"/>
              <w:rPr>
                <w:rFonts w:hint="eastAsia"/>
                <w:sz w:val="24"/>
              </w:rPr>
            </w:pPr>
            <w:r>
              <w:rPr>
                <w:rFonts w:hint="eastAsia"/>
                <w:sz w:val="24"/>
              </w:rPr>
              <w:t>主管部门负责人：</w:t>
            </w:r>
            <w:r>
              <w:rPr>
                <w:rFonts w:hint="eastAsia"/>
                <w:sz w:val="24"/>
                <w:lang w:val="en-US" w:eastAsia="zh-CN"/>
              </w:rPr>
              <w:t>杨春艳</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评审小组意见：</w:t>
            </w:r>
          </w:p>
          <w:p>
            <w:pPr>
              <w:spacing w:line="360" w:lineRule="auto"/>
              <w:jc w:val="left"/>
              <w:rPr>
                <w:rFonts w:hint="eastAsia"/>
                <w:sz w:val="24"/>
              </w:rPr>
            </w:pPr>
            <w:r>
              <w:rPr>
                <w:rFonts w:hint="eastAsia"/>
                <w:sz w:val="24"/>
              </w:rPr>
              <w:t>该公司</w:t>
            </w:r>
            <w:r>
              <w:rPr>
                <w:rFonts w:hint="eastAsia"/>
                <w:sz w:val="24"/>
                <w:lang w:val="en-US" w:eastAsia="zh-CN"/>
              </w:rPr>
              <w:t>服务</w:t>
            </w:r>
            <w:r>
              <w:rPr>
                <w:rFonts w:hint="eastAsia"/>
                <w:sz w:val="24"/>
              </w:rPr>
              <w:t>价格合理，质量可靠，</w:t>
            </w:r>
            <w:r>
              <w:rPr>
                <w:rFonts w:hint="eastAsia"/>
                <w:sz w:val="24"/>
                <w:lang w:val="en-US" w:eastAsia="zh-CN"/>
              </w:rPr>
              <w:t>运输</w:t>
            </w:r>
            <w:r>
              <w:rPr>
                <w:rFonts w:hint="eastAsia"/>
                <w:sz w:val="24"/>
              </w:rPr>
              <w:t>及时，同意列为我公司的合格供方。</w:t>
            </w:r>
          </w:p>
          <w:p>
            <w:pPr>
              <w:spacing w:line="360" w:lineRule="auto"/>
              <w:jc w:val="left"/>
              <w:rPr>
                <w:rFonts w:hint="default" w:eastAsia="宋体"/>
                <w:sz w:val="24"/>
                <w:lang w:val="en-US" w:eastAsia="zh-CN"/>
              </w:rPr>
            </w:pPr>
            <w:r>
              <w:rPr>
                <w:rFonts w:hint="eastAsia"/>
                <w:sz w:val="24"/>
              </w:rPr>
              <w:t xml:space="preserve">参加评审人（签字）： </w:t>
            </w:r>
            <w:r>
              <w:rPr>
                <w:rFonts w:hint="eastAsia" w:ascii="Times New Roman" w:hAnsi="Times New Roman" w:cs="Times New Roman"/>
                <w:sz w:val="24"/>
                <w:lang w:val="en-US" w:eastAsia="zh-CN"/>
              </w:rPr>
              <w:t>崔永彬、张鑫、韩立超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sz w:val="24"/>
              </w:rPr>
            </w:pPr>
            <w:r>
              <w:rPr>
                <w:rFonts w:hint="eastAsia"/>
                <w:sz w:val="24"/>
              </w:rPr>
              <w:t>评审结论（是否列入合格供方名录）</w:t>
            </w:r>
          </w:p>
          <w:p>
            <w:pPr>
              <w:spacing w:line="360" w:lineRule="auto"/>
              <w:ind w:firstLine="600" w:firstLineChars="250"/>
              <w:rPr>
                <w:rFonts w:hint="default" w:eastAsia="宋体"/>
                <w:sz w:val="24"/>
                <w:lang w:val="en-US" w:eastAsia="zh-CN"/>
              </w:rPr>
            </w:pPr>
            <w:r>
              <w:rPr>
                <w:rFonts w:hint="eastAsia" w:ascii="宋体" w:hAnsi="宋体" w:cs="宋体"/>
                <w:sz w:val="24"/>
              </w:rPr>
              <w:t>■</w:t>
            </w:r>
            <w:r>
              <w:rPr>
                <w:rFonts w:hint="eastAsia"/>
                <w:sz w:val="24"/>
              </w:rPr>
              <w:t>是      □否               批准签字：</w:t>
            </w:r>
            <w:r>
              <w:rPr>
                <w:rFonts w:hint="eastAsia" w:ascii="楷体" w:hAnsi="楷体" w:eastAsia="楷体"/>
                <w:szCs w:val="21"/>
              </w:rPr>
              <w:t>侯占秋</w:t>
            </w:r>
            <w:r>
              <w:rPr>
                <w:rFonts w:hint="eastAsia"/>
                <w:sz w:val="24"/>
              </w:rPr>
              <w:t xml:space="preserve">   日期：2</w:t>
            </w:r>
            <w:r>
              <w:rPr>
                <w:sz w:val="24"/>
              </w:rPr>
              <w:t>0</w:t>
            </w:r>
            <w:r>
              <w:rPr>
                <w:rFonts w:hint="eastAsia"/>
                <w:sz w:val="24"/>
                <w:lang w:val="en-US" w:eastAsia="zh-CN"/>
              </w:rPr>
              <w:t>21.2.10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eastAsia="宋体"/>
                <w:sz w:val="24"/>
                <w:lang w:val="en-US" w:eastAsia="zh-CN"/>
              </w:rPr>
            </w:pPr>
            <w:r>
              <w:rPr>
                <w:rFonts w:hint="eastAsia"/>
                <w:sz w:val="24"/>
                <w:lang w:val="en-US" w:eastAsia="zh-CN"/>
              </w:rPr>
              <w:t>备注：</w:t>
            </w:r>
          </w:p>
        </w:tc>
      </w:tr>
    </w:tbl>
    <w:p>
      <w:pPr>
        <w:spacing w:line="360" w:lineRule="auto"/>
        <w:jc w:val="cente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尊敬的</w:t>
      </w:r>
      <w:r>
        <w:rPr>
          <w:rFonts w:hint="eastAsia"/>
          <w:b/>
          <w:bCs/>
          <w:szCs w:val="21"/>
          <w:lang w:val="en-US" w:eastAsia="zh-CN"/>
        </w:rPr>
        <w:t>天津市蓟州区侯健货物运输中心</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ascii="仿宋_GB2312" w:eastAsia="仿宋_GB2312"/>
          <w:color w:val="auto"/>
        </w:rPr>
      </w:pPr>
      <w:r>
        <w:rPr>
          <w:rFonts w:hint="eastAsia" w:ascii="仿宋_GB2312" w:eastAsia="仿宋_GB2312"/>
          <w:color w:val="auto"/>
          <w:w w:val="90"/>
          <w:sz w:val="24"/>
        </w:rPr>
        <w:t>我公司专业从事</w:t>
      </w:r>
      <w:r>
        <w:rPr>
          <w:sz w:val="21"/>
          <w:szCs w:val="21"/>
        </w:rPr>
        <w:t>预拌商品混凝土的生产</w:t>
      </w:r>
      <w:r>
        <w:rPr>
          <w:rFonts w:hint="eastAsia" w:ascii="仿宋_GB2312" w:eastAsia="仿宋_GB2312"/>
          <w:color w:val="auto"/>
          <w:sz w:val="24"/>
        </w:rPr>
        <w:t>，</w:t>
      </w:r>
      <w:r>
        <w:rPr>
          <w:rFonts w:hint="eastAsia" w:ascii="仿宋_GB2312" w:eastAsia="仿宋_GB2312"/>
          <w:color w:val="auto"/>
          <w:w w:val="90"/>
          <w:sz w:val="24"/>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79" w:firstLineChars="222"/>
        <w:textAlignment w:val="auto"/>
        <w:rPr>
          <w:rFonts w:hint="eastAsia" w:ascii="仿宋_GB2312" w:hAnsi="宋体" w:eastAsia="仿宋_GB2312"/>
          <w:color w:val="auto"/>
          <w:w w:val="90"/>
          <w:sz w:val="24"/>
          <w:szCs w:val="28"/>
        </w:rPr>
      </w:pPr>
      <w:r>
        <w:rPr>
          <w:rFonts w:hint="eastAsia" w:ascii="仿宋_GB2312" w:hAnsi="宋体" w:eastAsia="仿宋_GB2312"/>
          <w:color w:val="auto"/>
          <w:w w:val="90"/>
          <w:sz w:val="24"/>
          <w:szCs w:val="28"/>
        </w:rPr>
        <w:t>本公司正在按</w:t>
      </w:r>
      <w:r>
        <w:rPr>
          <w:rFonts w:hint="eastAsia" w:ascii="仿宋_GB2312" w:hAnsi="宋体" w:eastAsia="仿宋_GB2312"/>
          <w:color w:val="auto"/>
          <w:w w:val="90"/>
          <w:sz w:val="24"/>
          <w:szCs w:val="28"/>
          <w:lang w:val="en-US" w:eastAsia="zh-CN"/>
        </w:rPr>
        <w:t>GB/T19001-2016、GB/T24001-2016、GB/T45001-2020标准</w:t>
      </w:r>
      <w:r>
        <w:rPr>
          <w:rFonts w:hint="eastAsia" w:ascii="仿宋_GB2312" w:hAnsi="宋体" w:eastAsia="仿宋_GB2312"/>
          <w:color w:val="auto"/>
          <w:w w:val="90"/>
          <w:sz w:val="24"/>
          <w:szCs w:val="28"/>
        </w:rPr>
        <w:t>建立并保持质量、环境、安全管理体系，为共同建立及维护这一体系，特致贵方此公开信。</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宋体" w:eastAsia="仿宋_GB2312"/>
          <w:color w:val="auto"/>
          <w:w w:val="90"/>
          <w:sz w:val="24"/>
          <w:szCs w:val="32"/>
        </w:rPr>
      </w:pPr>
      <w:r>
        <w:rPr>
          <w:rFonts w:hint="eastAsia" w:ascii="仿宋_GB2312" w:hAnsi="宋体" w:eastAsia="仿宋_GB2312"/>
          <w:color w:val="auto"/>
          <w:w w:val="90"/>
          <w:sz w:val="24"/>
          <w:szCs w:val="32"/>
        </w:rPr>
        <w:t>本公司的管理体系方针：</w:t>
      </w:r>
    </w:p>
    <w:p>
      <w:pPr>
        <w:ind w:firstLine="422" w:firstLineChars="200"/>
        <w:rPr>
          <w:rFonts w:hint="eastAsia" w:cs="宋体"/>
          <w:b/>
          <w:bCs/>
          <w:szCs w:val="22"/>
        </w:rPr>
      </w:pPr>
      <w:r>
        <w:rPr>
          <w:rFonts w:hint="eastAsia" w:cs="宋体"/>
          <w:b/>
          <w:bCs/>
          <w:szCs w:val="22"/>
        </w:rPr>
        <w:t>用户第一、安全第一、信誉第一、环保第一、持续改进、挑战未来。</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环境保护是每个企业进行经营活动和服务时都必须考虑的问题。我们认识到，与其他相关组织一起，节约资源与能源，保护生态、保护环境是我们共同的责任。</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因此，在积极推进公司经济许可范围内的环境保护行动的同时，为了加强与贵公司、相关方在环境保护、职业健康安全方面的合作，实现污染预防以及环境行为的持续改进，对商品、服务供应商及其它相关方特作出以下要求：</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1、所提供的设备、产品、服务过程应满足（或设法满足）国家、地方、行业的有关环境保护的法律、法规及我公司质量管理体系、环境管理体系、职业健康安全管理体系有关方面的要求。</w:t>
      </w:r>
    </w:p>
    <w:p>
      <w:pPr>
        <w:keepNext w:val="0"/>
        <w:keepLines w:val="0"/>
        <w:pageBreakBefore w:val="0"/>
        <w:widowControl w:val="0"/>
        <w:kinsoku/>
        <w:wordWrap/>
        <w:overflowPunct/>
        <w:topLinePunct w:val="0"/>
        <w:autoSpaceDE/>
        <w:autoSpaceDN/>
        <w:bidi w:val="0"/>
        <w:adjustRightInd/>
        <w:snapToGrid/>
        <w:spacing w:line="360" w:lineRule="exact"/>
        <w:ind w:firstLine="371" w:firstLineChars="172"/>
        <w:textAlignment w:val="auto"/>
        <w:rPr>
          <w:rFonts w:hint="eastAsia"/>
          <w:color w:val="auto"/>
          <w:w w:val="90"/>
          <w:sz w:val="24"/>
          <w:szCs w:val="28"/>
        </w:rPr>
      </w:pPr>
      <w:r>
        <w:rPr>
          <w:rFonts w:hint="eastAsia"/>
          <w:color w:val="auto"/>
          <w:w w:val="90"/>
          <w:sz w:val="24"/>
          <w:szCs w:val="28"/>
        </w:rPr>
        <w:t>2、节约能源和资源，努力实现能源资源消耗最小化，对包装物等尽可能回收或再生利用。</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3、在产品生产过程中，不得使用对人体有害的材料和工艺，应优先考虑采用无污染或少污染材料、生产工艺、生产设备、先进的生产方法等，不得采用国家或地方已禁止使用的材料、生产工艺、生产设备。</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4、在运输过程中，应保证运输车辆状况良好，车辆排放的废气、噪声及车辆冲洗要符合国家规定的排放标准。在运输过程中，不得扰乱厂区的正常经营秩序。</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5、为了督促相关方的环境保护及人身安全保护行为，本公司将对需重点施加环境和安全影响的相关方进行督促检查、验证。</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对不符合要求的相关方，本公司将提出整改意见及其它措施以施加影响。</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为了实现可持续发展，我们期望所采取的旨在保护环境和人身安全的活动得到各相方的支持与配合。</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 xml:space="preserve">本公司通过此公开信形式，将本公司质量/环境/职业健康安全管理方针告之贵方，希望贵方人员进入本公司工作场所时，遵守相关的质量/环境安全方面的规章制度，贵方如有建议或要求请告之，我公司会加以关注并及时将处理结果告之贵方。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color w:val="auto"/>
          <w:w w:val="90"/>
          <w:sz w:val="24"/>
          <w:szCs w:val="28"/>
        </w:rPr>
      </w:pPr>
      <w:r>
        <w:rPr>
          <w:rFonts w:hint="eastAsia"/>
          <w:color w:val="auto"/>
          <w:w w:val="90"/>
          <w:sz w:val="24"/>
          <w:szCs w:val="28"/>
        </w:rPr>
        <w:t>感谢你们的理解与支持！</w:t>
      </w:r>
      <w:bookmarkStart w:id="5" w:name="_GoBack"/>
      <w:bookmarkEnd w:id="5"/>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rFonts w:hint="eastAsia" w:ascii="微软雅黑" w:hAnsi="微软雅黑" w:eastAsia="微软雅黑" w:cs="微软雅黑"/>
          <w:sz w:val="28"/>
          <w:szCs w:val="28"/>
          <w:lang w:val="en-US" w:eastAsia="zh-CN"/>
        </w:rPr>
        <w:t>唐山顺华混凝土有限公司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auto"/>
          <w:w w:val="90"/>
          <w:sz w:val="44"/>
          <w:szCs w:val="44"/>
        </w:rPr>
      </w:pPr>
      <w:r>
        <w:rPr>
          <w:rFonts w:hint="eastAsia"/>
          <w:color w:val="auto"/>
          <w:w w:val="90"/>
          <w:sz w:val="24"/>
          <w:szCs w:val="28"/>
        </w:rPr>
        <w:t xml:space="preserve">                                                 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2</w:t>
      </w:r>
      <w:r>
        <w:rPr>
          <w:rFonts w:hint="eastAsia"/>
          <w:color w:val="auto"/>
          <w:w w:val="90"/>
          <w:sz w:val="24"/>
          <w:szCs w:val="28"/>
        </w:rPr>
        <w:t>月</w:t>
      </w:r>
      <w:r>
        <w:rPr>
          <w:rFonts w:hint="eastAsia"/>
          <w:color w:val="auto"/>
          <w:w w:val="90"/>
          <w:sz w:val="24"/>
          <w:szCs w:val="28"/>
          <w:lang w:val="en-US" w:eastAsia="zh-CN"/>
        </w:rPr>
        <w:t>10</w:t>
      </w:r>
      <w:r>
        <w:rPr>
          <w:rFonts w:hint="eastAsia"/>
          <w:color w:val="auto"/>
          <w:w w:val="90"/>
          <w:sz w:val="24"/>
          <w:szCs w:val="28"/>
        </w:rPr>
        <w:t>日</w:t>
      </w:r>
    </w:p>
    <w:p>
      <w:pPr>
        <w:jc w:val="center"/>
        <w:rPr>
          <w:rFonts w:hint="eastAsia" w:asciiTheme="majorEastAsia" w:hAnsiTheme="majorEastAsia" w:eastAsiaTheme="majorEastAsia" w:cstheme="majorEastAsia"/>
          <w:sz w:val="30"/>
          <w:szCs w:val="30"/>
        </w:rPr>
      </w:pPr>
    </w:p>
    <w:p>
      <w:pPr>
        <w:rPr>
          <w:rFonts w:hint="eastAsia" w:eastAsia="黑体"/>
          <w:b/>
          <w:lang w:eastAsia="zh-CN"/>
        </w:rPr>
      </w:pPr>
    </w:p>
    <w:p>
      <w:pPr>
        <w:rPr>
          <w:rFonts w:hint="eastAsia" w:eastAsia="黑体"/>
          <w:b/>
          <w:lang w:eastAsia="zh-CN"/>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4"/>
        <o:r id="V:Rule2" type="connector" idref="#_x0000_s3076"/>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75821F8"/>
    <w:rsid w:val="70A05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2</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2021-02-18T08:14:03Z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