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实验</w:t>
            </w:r>
            <w:r>
              <w:rPr>
                <w:rFonts w:hint="eastAsia"/>
                <w:sz w:val="24"/>
                <w:szCs w:val="24"/>
              </w:rPr>
              <w:t>室         主管领导：</w:t>
            </w:r>
            <w:r>
              <w:rPr>
                <w:rFonts w:hint="eastAsia"/>
                <w:sz w:val="24"/>
                <w:szCs w:val="24"/>
                <w:lang w:val="en-US" w:eastAsia="zh-CN"/>
              </w:rPr>
              <w:t>杨高</w:t>
            </w:r>
            <w:r>
              <w:rPr>
                <w:rFonts w:hint="eastAsia"/>
                <w:sz w:val="24"/>
                <w:szCs w:val="24"/>
              </w:rPr>
              <w:t xml:space="preserve">         陪同人员：</w:t>
            </w:r>
            <w:r>
              <w:rPr>
                <w:rFonts w:hint="eastAsia"/>
                <w:sz w:val="24"/>
                <w:szCs w:val="24"/>
                <w:lang w:val="en-US" w:eastAsia="zh-CN"/>
              </w:rPr>
              <w:t>乔沙</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tc>
        <w:tc>
          <w:tcPr>
            <w:tcW w:w="1169" w:type="dxa"/>
            <w:vMerge w:val="continue"/>
            <w:vAlign w:val="center"/>
          </w:tcPr>
          <w:p/>
        </w:tc>
        <w:tc>
          <w:tcPr>
            <w:tcW w:w="10738" w:type="dxa"/>
            <w:vAlign w:val="center"/>
          </w:tcPr>
          <w:p>
            <w:pPr>
              <w:spacing w:before="120"/>
            </w:pPr>
            <w:r>
              <w:rPr>
                <w:rFonts w:hint="eastAsia"/>
                <w:sz w:val="24"/>
                <w:szCs w:val="24"/>
              </w:rPr>
              <w:t xml:space="preserve">审核员：  </w:t>
            </w:r>
            <w:r>
              <w:rPr>
                <w:rFonts w:hint="eastAsia"/>
                <w:sz w:val="24"/>
                <w:szCs w:val="24"/>
                <w:lang w:val="en-US" w:eastAsia="zh-CN"/>
              </w:rPr>
              <w:t>伍光华</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8</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tc>
        <w:tc>
          <w:tcPr>
            <w:tcW w:w="1169" w:type="dxa"/>
            <w:vMerge w:val="continue"/>
            <w:vAlign w:val="center"/>
          </w:tcPr>
          <w:p/>
        </w:tc>
        <w:tc>
          <w:tcPr>
            <w:tcW w:w="10738" w:type="dxa"/>
            <w:vAlign w:val="center"/>
          </w:tcPr>
          <w:p>
            <w:pPr>
              <w:rPr>
                <w:szCs w:val="21"/>
              </w:rPr>
            </w:pPr>
            <w:r>
              <w:rPr>
                <w:rFonts w:hint="eastAsia"/>
                <w:szCs w:val="21"/>
              </w:rPr>
              <w:t>审核条款：</w:t>
            </w:r>
          </w:p>
          <w:p>
            <w:pPr>
              <w:snapToGrid w:val="0"/>
              <w:spacing w:line="260" w:lineRule="exact"/>
              <w:rPr>
                <w:rFonts w:ascii="宋体" w:hAnsi="宋体" w:cs="宋体"/>
                <w:szCs w:val="21"/>
              </w:rPr>
            </w:pPr>
            <w:r>
              <w:rPr>
                <w:rFonts w:hint="eastAsia" w:ascii="宋体" w:hAnsi="宋体" w:cs="宋体"/>
                <w:szCs w:val="21"/>
              </w:rPr>
              <w:t>Q:5.3/6.1/6.2/7.4/</w:t>
            </w:r>
            <w:r>
              <w:rPr>
                <w:rFonts w:hint="eastAsia" w:ascii="宋体" w:hAnsi="宋体" w:cs="宋体"/>
                <w:b/>
                <w:bCs/>
                <w:szCs w:val="21"/>
              </w:rPr>
              <w:t>7.1.3/7.1.4/7.1.5/8.6/8.7/9.1/</w:t>
            </w:r>
            <w:r>
              <w:rPr>
                <w:rFonts w:ascii="宋体" w:hAnsi="宋体" w:cs="宋体"/>
                <w:b/>
                <w:bCs/>
                <w:szCs w:val="21"/>
              </w:rPr>
              <w:t>9.1.3</w:t>
            </w:r>
            <w:r>
              <w:rPr>
                <w:rFonts w:hint="eastAsia" w:ascii="宋体" w:hAnsi="宋体" w:cs="宋体"/>
                <w:b/>
                <w:bCs/>
                <w:szCs w:val="21"/>
              </w:rPr>
              <w:t>//10.2/10.3</w:t>
            </w:r>
          </w:p>
          <w:p>
            <w:pPr>
              <w:snapToGrid w:val="0"/>
              <w:spacing w:line="260" w:lineRule="exact"/>
              <w:rPr>
                <w:rFonts w:ascii="宋体" w:hAnsi="宋体" w:cs="宋体"/>
                <w:szCs w:val="21"/>
              </w:rPr>
            </w:pPr>
            <w:r>
              <w:rPr>
                <w:rFonts w:hint="eastAsia" w:ascii="宋体" w:hAnsi="宋体" w:cs="宋体"/>
                <w:szCs w:val="21"/>
              </w:rPr>
              <w:t>E:5.3/6.1.1/6.2/</w:t>
            </w:r>
            <w:r>
              <w:rPr>
                <w:rFonts w:hint="eastAsia" w:ascii="宋体" w:hAnsi="宋体" w:cs="宋体"/>
                <w:b/>
                <w:bCs/>
                <w:szCs w:val="21"/>
              </w:rPr>
              <w:t>6.1.2/6.1.3</w:t>
            </w:r>
            <w:r>
              <w:rPr>
                <w:rFonts w:hint="eastAsia" w:ascii="宋体" w:hAnsi="宋体" w:cs="宋体"/>
                <w:szCs w:val="21"/>
              </w:rPr>
              <w:t>/</w:t>
            </w:r>
            <w:r>
              <w:rPr>
                <w:rFonts w:hint="eastAsia" w:ascii="宋体" w:hAnsi="宋体" w:cs="宋体"/>
                <w:b/>
                <w:bCs/>
                <w:szCs w:val="21"/>
              </w:rPr>
              <w:t>6.1.4</w:t>
            </w:r>
            <w:r>
              <w:rPr>
                <w:rFonts w:hint="eastAsia" w:ascii="宋体" w:hAnsi="宋体" w:cs="宋体"/>
                <w:szCs w:val="21"/>
              </w:rPr>
              <w:t>/</w:t>
            </w:r>
            <w:r>
              <w:rPr>
                <w:rFonts w:hint="eastAsia" w:ascii="宋体" w:hAnsi="宋体" w:cs="宋体"/>
                <w:b/>
                <w:bCs/>
                <w:szCs w:val="21"/>
              </w:rPr>
              <w:t>8.1</w:t>
            </w:r>
            <w:r>
              <w:rPr>
                <w:rFonts w:hint="eastAsia" w:ascii="宋体" w:hAnsi="宋体" w:cs="宋体"/>
                <w:szCs w:val="21"/>
              </w:rPr>
              <w:t>/</w:t>
            </w:r>
            <w:r>
              <w:rPr>
                <w:rFonts w:hint="eastAsia" w:ascii="宋体" w:hAnsi="宋体" w:cs="宋体"/>
                <w:b/>
                <w:bCs/>
                <w:szCs w:val="21"/>
              </w:rPr>
              <w:t>8.2/9.1.1/9.1.2</w:t>
            </w:r>
            <w:r>
              <w:rPr>
                <w:rFonts w:hint="eastAsia" w:ascii="宋体" w:hAnsi="宋体" w:cs="宋体"/>
                <w:szCs w:val="21"/>
              </w:rPr>
              <w:t>/</w:t>
            </w:r>
            <w:r>
              <w:rPr>
                <w:rFonts w:hint="eastAsia" w:ascii="宋体" w:hAnsi="宋体" w:cs="宋体"/>
                <w:b/>
                <w:bCs/>
                <w:szCs w:val="21"/>
              </w:rPr>
              <w:t>10.2</w:t>
            </w:r>
          </w:p>
          <w:p>
            <w:pPr>
              <w:spacing w:line="260" w:lineRule="exact"/>
              <w:jc w:val="left"/>
              <w:rPr>
                <w:rFonts w:ascii="宋体" w:hAnsi="宋体" w:cs="宋体"/>
                <w:b/>
                <w:bCs/>
                <w:sz w:val="18"/>
                <w:szCs w:val="18"/>
              </w:rPr>
            </w:pPr>
            <w:r>
              <w:rPr>
                <w:rFonts w:hint="eastAsia" w:ascii="宋体" w:hAnsi="宋体" w:cs="宋体"/>
                <w:b/>
                <w:bCs/>
                <w:szCs w:val="21"/>
              </w:rPr>
              <w:t>S:5.3/5.4/6.1.2/6.1.3/6.1.4/6.2/</w:t>
            </w:r>
            <w:r>
              <w:rPr>
                <w:rFonts w:ascii="宋体" w:hAnsi="宋体" w:cs="宋体"/>
                <w:b/>
                <w:bCs/>
                <w:szCs w:val="21"/>
              </w:rPr>
              <w:t>7.5</w:t>
            </w:r>
            <w:r>
              <w:rPr>
                <w:rFonts w:hint="eastAsia" w:ascii="宋体" w:hAnsi="宋体" w:cs="宋体"/>
                <w:b/>
                <w:bCs/>
                <w:szCs w:val="21"/>
              </w:rPr>
              <w:t>/8.1.2/8.1.3/8.1.4/8.2/9.1.1/9.1.2/10.2/10.3</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1" w:type="dxa"/>
          </w:tcPr>
          <w:p>
            <w:r>
              <w:rPr>
                <w:rFonts w:hint="eastAsia" w:asciiTheme="minorEastAsia" w:hAnsiTheme="minorEastAsia" w:eastAsiaTheme="minorEastAsia" w:cstheme="minorEastAsia"/>
                <w:szCs w:val="21"/>
              </w:rPr>
              <w:t>询查部门及人员的职责和权限，是否与规定一致？</w:t>
            </w:r>
          </w:p>
        </w:tc>
        <w:tc>
          <w:tcPr>
            <w:tcW w:w="1169"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S5.4</w:t>
            </w:r>
          </w:p>
          <w:p>
            <w:r>
              <w:rPr>
                <w:rFonts w:hint="eastAsia" w:asciiTheme="minorEastAsia" w:hAnsiTheme="minorEastAsia" w:eastAsiaTheme="minorEastAsia" w:cstheme="minorEastAsia"/>
                <w:b/>
                <w:bCs/>
                <w:szCs w:val="21"/>
              </w:rPr>
              <w:t>Q7.4</w:t>
            </w:r>
          </w:p>
        </w:tc>
        <w:tc>
          <w:tcPr>
            <w:tcW w:w="10738" w:type="dxa"/>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查《管理手册》中的职能分配表和手册中规定：对职能部门和各类人员的职责和权限做了规定，同时制定了部门职责及员工岗位说明书，符合规定要求。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实验室</w:t>
            </w:r>
            <w:r>
              <w:rPr>
                <w:rFonts w:hint="eastAsia" w:asciiTheme="minorEastAsia" w:hAnsiTheme="minorEastAsia" w:eastAsiaTheme="minorEastAsia" w:cstheme="minorEastAsia"/>
                <w:szCs w:val="21"/>
              </w:rPr>
              <w:t>主管领导：</w:t>
            </w:r>
            <w:r>
              <w:rPr>
                <w:rFonts w:hint="eastAsia"/>
                <w:sz w:val="21"/>
                <w:szCs w:val="21"/>
                <w:lang w:val="en-US" w:eastAsia="zh-CN"/>
              </w:rPr>
              <w:t>杨高</w:t>
            </w:r>
            <w:r>
              <w:rPr>
                <w:rFonts w:hint="eastAsia" w:asciiTheme="minorEastAsia" w:hAnsiTheme="minorEastAsia" w:eastAsiaTheme="minorEastAsia" w:cstheme="minorEastAsia"/>
                <w:szCs w:val="21"/>
              </w:rPr>
              <w:t>，另有</w:t>
            </w:r>
            <w:r>
              <w:rPr>
                <w:rFonts w:hint="eastAsia" w:asciiTheme="minorEastAsia" w:hAnsiTheme="minorEastAsia" w:eastAsiaTheme="minorEastAsia" w:cstheme="minorEastAsia"/>
                <w:szCs w:val="21"/>
                <w:lang w:val="en-US" w:eastAsia="zh-CN"/>
              </w:rPr>
              <w:t>实</w:t>
            </w:r>
            <w:r>
              <w:rPr>
                <w:rFonts w:hint="eastAsia" w:asciiTheme="minorEastAsia" w:hAnsiTheme="minorEastAsia" w:eastAsiaTheme="minorEastAsia" w:cstheme="minorEastAsia"/>
                <w:szCs w:val="21"/>
              </w:rPr>
              <w:t>验员、检验员，具体负责产品检验与试验、不合格品控制与处理、产品放行、纠正措施控制、预防措施控制、危险源、环境因素识别及评价控制、目标指标和管理方案控制、运行控制、应急准备和响应控制、日常办公活动等，</w:t>
            </w:r>
          </w:p>
          <w:p>
            <w:pPr>
              <w:ind w:firstLine="210" w:firstLineChars="100"/>
            </w:pPr>
            <w:r>
              <w:rPr>
                <w:rFonts w:hint="eastAsia" w:asciiTheme="minorEastAsia" w:hAnsiTheme="minorEastAsia" w:eastAsiaTheme="minorEastAsia" w:cstheme="minorEastAsia"/>
                <w:szCs w:val="21"/>
              </w:rPr>
              <w:t>现场与</w:t>
            </w:r>
            <w:r>
              <w:rPr>
                <w:rFonts w:hint="eastAsia" w:asciiTheme="minorEastAsia" w:hAnsiTheme="minorEastAsia" w:eastAsiaTheme="minorEastAsia" w:cstheme="minorEastAsia"/>
                <w:szCs w:val="21"/>
                <w:lang w:val="en-US" w:eastAsia="zh-CN"/>
              </w:rPr>
              <w:t>实验室</w:t>
            </w:r>
            <w:r>
              <w:rPr>
                <w:rFonts w:hint="eastAsia" w:asciiTheme="minorEastAsia" w:hAnsiTheme="minorEastAsia" w:eastAsiaTheme="minorEastAsia" w:cstheme="minorEastAsia"/>
                <w:szCs w:val="21"/>
              </w:rPr>
              <w:t>主管领导</w:t>
            </w:r>
            <w:r>
              <w:rPr>
                <w:rFonts w:hint="eastAsia"/>
                <w:sz w:val="21"/>
                <w:szCs w:val="21"/>
                <w:lang w:val="en-US" w:eastAsia="zh-CN"/>
              </w:rPr>
              <w:t>杨高</w:t>
            </w:r>
            <w:r>
              <w:rPr>
                <w:rFonts w:hint="eastAsia" w:asciiTheme="minorEastAsia" w:hAnsiTheme="minorEastAsia" w:eastAsiaTheme="minorEastAsia" w:cstheme="minorEastAsia"/>
                <w:szCs w:val="21"/>
              </w:rPr>
              <w:t>沟通，对本部门的责和权限比较了解，基本符合。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tc>
        <w:tc>
          <w:tcPr>
            <w:tcW w:w="1169"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ES6.1.1</w:t>
            </w:r>
          </w:p>
          <w:p/>
        </w:tc>
        <w:tc>
          <w:tcPr>
            <w:tcW w:w="10738"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过程方法及风险评价识别了本部门的质量、环境、职业健康安全风险及应对措施的策划，有《风险识别及措施表》、《质量管理风险、机遇及应对措施》，将需要应对的风险和机遇进行风险分析确定风险级别（一般风险、高风险），在质量管理体系所确定的过程（生产制造、合同评审过程；产品交付；顾客服务；人力资源控制等）中，整合制定针对性管理措施（如程序控制等）。</w:t>
            </w:r>
          </w:p>
          <w:p>
            <w:pPr>
              <w:ind w:firstLine="210" w:firstLineChars="100"/>
              <w:rPr>
                <w:color w:val="FF0000"/>
              </w:rPr>
            </w:pPr>
            <w:r>
              <w:rPr>
                <w:rFonts w:hint="eastAsia" w:asciiTheme="minorEastAsia" w:hAnsiTheme="minorEastAsia" w:eastAsiaTheme="minorEastAsia" w:cstheme="minorEastAsia"/>
                <w:szCs w:val="21"/>
              </w:rPr>
              <w:t>进行了措施有效性的评审，结果为有效，编制人</w:t>
            </w:r>
            <w:r>
              <w:rPr>
                <w:rFonts w:hint="eastAsia" w:asciiTheme="minorEastAsia" w:hAnsiTheme="minorEastAsia" w:eastAsiaTheme="minorEastAsia" w:cstheme="minorEastAsia"/>
                <w:szCs w:val="21"/>
                <w:lang w:val="en-US" w:eastAsia="zh-CN"/>
              </w:rPr>
              <w:t>办公室</w:t>
            </w:r>
            <w:r>
              <w:rPr>
                <w:rFonts w:hint="eastAsia" w:asciiTheme="minorEastAsia" w:hAnsiTheme="minorEastAsia" w:eastAsiaTheme="minorEastAsia" w:cstheme="minorEastAsia"/>
                <w:szCs w:val="21"/>
              </w:rPr>
              <w:t>，审核人</w:t>
            </w:r>
            <w:r>
              <w:rPr>
                <w:rFonts w:hint="eastAsia" w:asciiTheme="minorEastAsia" w:hAnsiTheme="minorEastAsia" w:eastAsiaTheme="minorEastAsia" w:cstheme="minorEastAsia"/>
                <w:szCs w:val="21"/>
                <w:lang w:val="en-US" w:eastAsia="zh-CN"/>
              </w:rPr>
              <w:t>张咸</w:t>
            </w:r>
            <w:r>
              <w:rPr>
                <w:rFonts w:hint="eastAsia" w:asciiTheme="minorEastAsia" w:hAnsiTheme="minorEastAsia" w:eastAsiaTheme="minorEastAsia" w:cstheme="minorEastAsia"/>
                <w:szCs w:val="21"/>
              </w:rPr>
              <w:t>，审核日期20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23</w:t>
            </w:r>
            <w:r>
              <w:rPr>
                <w:rFonts w:hint="eastAsia" w:asciiTheme="minorEastAsia" w:hAnsiTheme="minorEastAsia" w:eastAsiaTheme="minorEastAsia" w:cstheme="minorEastAsia"/>
                <w:szCs w:val="21"/>
              </w:rPr>
              <w:t xml:space="preserve"> </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1169"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Q7.4</w:t>
            </w: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公司目标管理规定，规定了目标的分解及考核的具体方法，公司对质量目标进行了分解，</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部门目标</w:t>
            </w:r>
            <w:r>
              <w:rPr>
                <w:rFonts w:hint="eastAsia" w:asciiTheme="minorEastAsia" w:hAnsiTheme="minorEastAsia" w:eastAsiaTheme="minorEastAsia" w:cstheme="minorEastAsia"/>
                <w:szCs w:val="21"/>
              </w:rPr>
              <w:t xml:space="preserve">                </w:t>
            </w:r>
            <w:r>
              <w:drawing>
                <wp:inline distT="0" distB="0" distL="114300" distR="114300">
                  <wp:extent cx="2723515" cy="1285875"/>
                  <wp:effectExtent l="0" t="0" r="698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t="-198" r="29907"/>
                          <a:stretch>
                            <a:fillRect/>
                          </a:stretch>
                        </pic:blipFill>
                        <pic:spPr>
                          <a:xfrm>
                            <a:off x="0" y="0"/>
                            <a:ext cx="2723515" cy="1285875"/>
                          </a:xfrm>
                          <a:prstGeom prst="rect">
                            <a:avLst/>
                          </a:prstGeom>
                          <a:noFill/>
                          <a:ln>
                            <a:noFill/>
                          </a:ln>
                        </pic:spPr>
                      </pic:pic>
                    </a:graphicData>
                  </a:graphic>
                </wp:inline>
              </w:drawing>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月30日 ，</w:t>
            </w:r>
            <w:r>
              <w:rPr>
                <w:rFonts w:hint="eastAsia" w:asciiTheme="minorEastAsia" w:hAnsiTheme="minorEastAsia" w:eastAsiaTheme="minorEastAsia" w:cstheme="minorEastAsia"/>
                <w:szCs w:val="21"/>
                <w:lang w:val="en-US" w:eastAsia="zh-CN"/>
              </w:rPr>
              <w:t>张咸</w:t>
            </w:r>
            <w:r>
              <w:rPr>
                <w:rFonts w:hint="eastAsia" w:asciiTheme="minorEastAsia" w:hAnsiTheme="minorEastAsia" w:eastAsiaTheme="minorEastAsia" w:cstheme="minorEastAsia"/>
                <w:szCs w:val="21"/>
              </w:rPr>
              <w:t>进行了统计及目标实现分析，经查，达成目标，并将管理目标完成情况在公司会议上进行通报。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环境管理方案：</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 编号</w:t>
            </w:r>
            <w:r>
              <w:rPr>
                <w:rFonts w:hint="eastAsia" w:ascii="宋体" w:hAnsi="宋体"/>
                <w:sz w:val="21"/>
                <w:szCs w:val="21"/>
              </w:rPr>
              <w:t>JL</w:t>
            </w:r>
            <w:r>
              <w:rPr>
                <w:rFonts w:hint="eastAsia" w:ascii="宋体" w:hAnsi="宋体"/>
                <w:sz w:val="21"/>
                <w:szCs w:val="21"/>
                <w:lang w:val="en-US" w:eastAsia="zh-CN"/>
              </w:rPr>
              <w:t>621</w:t>
            </w:r>
            <w:r>
              <w:rPr>
                <w:rFonts w:hint="eastAsia" w:ascii="宋体" w:hAnsi="宋体"/>
                <w:sz w:val="21"/>
                <w:szCs w:val="21"/>
              </w:rPr>
              <w:t>-01</w:t>
            </w:r>
            <w:r>
              <w:rPr>
                <w:rFonts w:hint="eastAsia" w:asciiTheme="minorEastAsia" w:hAnsiTheme="minorEastAsia" w:eastAsiaTheme="minorEastAsia" w:cstheme="minorEastAsia"/>
                <w:szCs w:val="21"/>
              </w:rPr>
              <w:t>《环境目标、指标、管理方案》， 管理方案内容包括如下：环境目标、环境指标、管理措施、完成时间、责任部门等内容。具有一定的可操作性。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对噪声达标排放 采取措施如下：1.</w:t>
            </w:r>
            <w:r>
              <w:rPr>
                <w:rFonts w:hint="eastAsia"/>
              </w:rPr>
              <w:t xml:space="preserve"> </w:t>
            </w:r>
            <w:r>
              <w:rPr>
                <w:rFonts w:hint="eastAsia" w:asciiTheme="minorEastAsia" w:hAnsiTheme="minorEastAsia" w:eastAsiaTheme="minorEastAsia" w:cstheme="minorEastAsia"/>
                <w:szCs w:val="21"/>
              </w:rPr>
              <w:t>建立环境保护管理规定；噪声隔离，减少接触时间；2.</w:t>
            </w:r>
            <w:r>
              <w:rPr>
                <w:rFonts w:hint="eastAsia"/>
              </w:rPr>
              <w:t xml:space="preserve"> </w:t>
            </w:r>
            <w:r>
              <w:rPr>
                <w:rFonts w:hint="eastAsia" w:asciiTheme="minorEastAsia" w:hAnsiTheme="minorEastAsia" w:eastAsiaTheme="minorEastAsia" w:cstheme="minorEastAsia"/>
                <w:szCs w:val="21"/>
              </w:rPr>
              <w:t>加强设备维修保养润滑，减少噪声排放。完成情况：于20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月30日对生产车间进行噪声控制检查，符合要求。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对粉尘达标排放 采取措施如下：1.</w:t>
            </w:r>
            <w:r>
              <w:rPr>
                <w:rFonts w:hint="eastAsia"/>
              </w:rPr>
              <w:t xml:space="preserve"> </w:t>
            </w:r>
            <w:r>
              <w:rPr>
                <w:rFonts w:hint="eastAsia" w:asciiTheme="minorEastAsia" w:hAnsiTheme="minorEastAsia" w:eastAsiaTheme="minorEastAsia" w:cstheme="minorEastAsia"/>
                <w:szCs w:val="21"/>
              </w:rPr>
              <w:t>建立生产现场环境保护管理制度，定时洒水、清扫；2.</w:t>
            </w:r>
            <w:r>
              <w:rPr>
                <w:rFonts w:hint="eastAsia"/>
              </w:rPr>
              <w:t xml:space="preserve"> </w:t>
            </w:r>
            <w:r>
              <w:rPr>
                <w:rFonts w:hint="eastAsia" w:asciiTheme="minorEastAsia" w:hAnsiTheme="minorEastAsia" w:eastAsiaTheme="minorEastAsia" w:cstheme="minorEastAsia"/>
                <w:szCs w:val="21"/>
              </w:rPr>
              <w:t>原材料堆场、生产车间正在进行全覆盖工程。完成情况：于20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月30日对生产车间进行粉尘控制检查，符合要求。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职业健康安全管理方案：</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编号</w:t>
            </w:r>
            <w:r>
              <w:rPr>
                <w:rFonts w:hint="eastAsia" w:ascii="宋体" w:hAnsi="宋体"/>
                <w:sz w:val="21"/>
                <w:szCs w:val="21"/>
              </w:rPr>
              <w:t>J</w:t>
            </w:r>
            <w:r>
              <w:rPr>
                <w:rFonts w:hint="eastAsia" w:ascii="宋体" w:hAnsi="宋体"/>
                <w:sz w:val="21"/>
                <w:szCs w:val="21"/>
                <w:lang w:val="en-US" w:eastAsia="zh-CN"/>
              </w:rPr>
              <w:t>L621</w:t>
            </w:r>
            <w:r>
              <w:rPr>
                <w:rFonts w:hint="eastAsia" w:ascii="宋体" w:hAnsi="宋体"/>
                <w:sz w:val="21"/>
                <w:szCs w:val="21"/>
              </w:rPr>
              <w:t>-02</w:t>
            </w:r>
            <w:r>
              <w:rPr>
                <w:rFonts w:hint="eastAsia" w:asciiTheme="minorEastAsia" w:hAnsiTheme="minorEastAsia" w:eastAsiaTheme="minorEastAsia" w:cstheme="minorEastAsia"/>
                <w:szCs w:val="21"/>
              </w:rPr>
              <w:t>《职业健康安全目标及管理方案》，管理方案内容如下：</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查看管理方案及实施情况：目标、对应不可接受风险、管理措施、实施时间等内容。具有一定的可操作性。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高空坠落</w:t>
            </w:r>
            <w:r>
              <w:rPr>
                <w:rFonts w:hint="eastAsia" w:asciiTheme="minorEastAsia" w:hAnsiTheme="minorEastAsia" w:eastAsiaTheme="minorEastAsia" w:cstheme="minorEastAsia"/>
                <w:szCs w:val="21"/>
              </w:rPr>
              <w:t xml:space="preserve"> 采取措施如下：周边防护高处高于作业面。完成情况：于20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职业病 采取措施如下：预防职业病，佩戴防护罩和耳塞。完成情况：于20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月30日检查生产车间，重要岗位佩戴了防护用品。</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运输伤害 采取措施如下：加强司机安全教育，车辆转弯注意盲区。完成情况：于20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w:t>
            </w:r>
            <w:r>
              <w:rPr>
                <w:rFonts w:hint="eastAsia" w:asciiTheme="minorEastAsia" w:hAnsiTheme="minorEastAsia" w:eastAsiaTheme="minorEastAsia" w:cstheme="minorEastAsia"/>
                <w:szCs w:val="21"/>
                <w:lang w:val="en-US" w:eastAsia="zh-CN"/>
              </w:rPr>
              <w:t>部</w:t>
            </w:r>
            <w:r>
              <w:rPr>
                <w:rFonts w:hint="eastAsia" w:asciiTheme="minorEastAsia" w:hAnsiTheme="minorEastAsia" w:eastAsiaTheme="minorEastAsia" w:cstheme="minorEastAsia"/>
                <w:szCs w:val="21"/>
              </w:rPr>
              <w:t>车</w:t>
            </w:r>
            <w:r>
              <w:rPr>
                <w:rFonts w:hint="eastAsia" w:asciiTheme="minorEastAsia" w:hAnsiTheme="minorEastAsia" w:eastAsiaTheme="minorEastAsia" w:cstheme="minorEastAsia"/>
                <w:szCs w:val="21"/>
                <w:lang w:val="en-US" w:eastAsia="zh-CN"/>
              </w:rPr>
              <w:t>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车队司机安全意识加强，规范开车。</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机械伤害 采取措施如下：为杜绝机械伤害，在设备使用前进行全面检查，制定设备安全操作规程。完成情况：于20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月30日进行了检测，规范操作。</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火灾爆炸 采取措施如下：加强安全教育，杜绝违规操作，定期安全生产检查。完成情况：于2020年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月30日检查生产车间安全防护到位符合要求。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触电 采取措施如下：加强安全教育，杜绝违规操作，，禁止乱接乱搭电线，定期安全生产检查。完成情况：于2020年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月30日检查生产车间规范接线，符合要求。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51" w:type="dxa"/>
          </w:tcPr>
          <w:p>
            <w:pPr>
              <w:pStyle w:val="7"/>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查现场基础设施</w:t>
            </w:r>
          </w:p>
          <w:p>
            <w:pPr>
              <w:pStyle w:val="7"/>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监视、测量设备</w:t>
            </w:r>
          </w:p>
        </w:tc>
        <w:tc>
          <w:tcPr>
            <w:tcW w:w="1169" w:type="dxa"/>
          </w:tcPr>
          <w:p>
            <w:pPr>
              <w:pStyle w:val="7"/>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Q7.1.3</w:t>
            </w:r>
          </w:p>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Q</w:t>
            </w:r>
            <w:r>
              <w:rPr>
                <w:rFonts w:hint="eastAsia" w:asciiTheme="minorEastAsia" w:hAnsiTheme="minorEastAsia" w:eastAsiaTheme="minorEastAsia" w:cstheme="minorEastAsia"/>
                <w:b/>
                <w:color w:val="auto"/>
                <w:sz w:val="21"/>
                <w:szCs w:val="21"/>
              </w:rPr>
              <w:t>7.1.5</w:t>
            </w:r>
          </w:p>
        </w:tc>
        <w:tc>
          <w:tcPr>
            <w:tcW w:w="10738" w:type="dxa"/>
          </w:tcPr>
          <w:p>
            <w:pPr>
              <w:pStyle w:val="7"/>
              <w:spacing w:line="360" w:lineRule="auto"/>
              <w:rPr>
                <w:rFonts w:asciiTheme="minorEastAsia" w:hAnsiTheme="minorEastAsia" w:eastAsiaTheme="minorEastAsia" w:cstheme="minorEastAsia"/>
                <w:color w:val="FF0000"/>
                <w:sz w:val="21"/>
                <w:szCs w:val="21"/>
                <w:u w:val="single"/>
              </w:rPr>
            </w:pPr>
            <w:r>
              <w:rPr>
                <w:rFonts w:hint="eastAsia" w:asciiTheme="minorEastAsia" w:hAnsiTheme="minorEastAsia" w:eastAsiaTheme="minorEastAsia" w:cstheme="minorEastAsia"/>
                <w:color w:val="auto"/>
                <w:sz w:val="21"/>
                <w:szCs w:val="21"/>
              </w:rPr>
              <w:t>监测资源：查到“</w:t>
            </w:r>
            <w:r>
              <w:rPr>
                <w:rFonts w:hint="eastAsia" w:asciiTheme="minorEastAsia" w:hAnsiTheme="minorEastAsia" w:eastAsiaTheme="minorEastAsia" w:cstheme="minorEastAsia"/>
                <w:bCs/>
                <w:color w:val="auto"/>
                <w:sz w:val="21"/>
                <w:szCs w:val="21"/>
              </w:rPr>
              <w:t>计量器具/监视设备台账”，见电子天平、</w:t>
            </w:r>
            <w:r>
              <w:rPr>
                <w:rFonts w:hint="eastAsia" w:asciiTheme="minorEastAsia" w:hAnsiTheme="minorEastAsia" w:eastAsiaTheme="minorEastAsia" w:cstheme="minorEastAsia"/>
                <w:bCs/>
                <w:color w:val="auto"/>
                <w:sz w:val="21"/>
                <w:szCs w:val="21"/>
                <w:lang w:val="en-US" w:eastAsia="zh-CN"/>
              </w:rPr>
              <w:t>混凝土搅拌</w:t>
            </w:r>
            <w:r>
              <w:rPr>
                <w:rFonts w:hint="eastAsia" w:asciiTheme="minorEastAsia" w:hAnsiTheme="minorEastAsia" w:eastAsiaTheme="minorEastAsia" w:cstheme="minorEastAsia"/>
                <w:bCs/>
                <w:color w:val="auto"/>
                <w:sz w:val="21"/>
                <w:szCs w:val="21"/>
              </w:rPr>
              <w:t>称、恒加载水泥抗折抗压试验机</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压力实验机、电子汽车衡</w:t>
            </w:r>
            <w:r>
              <w:rPr>
                <w:rFonts w:hint="eastAsia" w:asciiTheme="minorEastAsia" w:hAnsiTheme="minorEastAsia" w:eastAsiaTheme="minorEastAsia" w:cstheme="minorEastAsia"/>
                <w:bCs/>
                <w:color w:val="auto"/>
                <w:sz w:val="21"/>
                <w:szCs w:val="21"/>
              </w:rPr>
              <w:t>等。</w:t>
            </w:r>
          </w:p>
          <w:p>
            <w:pPr>
              <w:pStyle w:val="7"/>
              <w:spacing w:line="360" w:lineRule="auto"/>
              <w:ind w:firstLine="210" w:firstLineChars="100"/>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抽查检定（校准）证书：</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提供东莞凯威计量技术有限公司对压力试验机校准证书，证书编号：KW20016960001，校准日期2020年4月24日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提供东莞凯威计量技术有限公司对电子秤校准证书，证书编号：KW20016960025，校准日期2020年4月24日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提供东莞凯威计量技术有限公司对电子天平校准证书，证书编号：KW200169600023，校准日期2020年4月24日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提供东莞凯威计量技术有限公司对电子天平校准证书，证书编号：KW20016960024，校准日期2020年4月24日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提供东莞凯威计量技术有限公司对电子天平校准证书，证书编号：KW20016960022，校准日期2020年4月24日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提供东莞凯威计量技术有限公司对恒加载水泥抗折抗压实验机校准证书，证书编号：KW20016960002，校准日期2020年4月24日</w:t>
            </w:r>
          </w:p>
          <w:p>
            <w:pPr>
              <w:pStyle w:val="7"/>
              <w:spacing w:line="360" w:lineRule="auto"/>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提供东莞凯威计量技术有限公司对混凝土搅拌秤校准证书，证书编号：KW20016960030，校准日期2020年5月7日</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监视和测量资源搬运、储存维护满足要求，状态标识符合要求。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负责人介绍：监视和测量设备由检查员负责保管、使用，确保了仪器的正常使用。试验室人员有操作自核，持证上岗，人员证书见附件。</w:t>
            </w:r>
          </w:p>
        </w:tc>
        <w:tc>
          <w:tcPr>
            <w:tcW w:w="851" w:type="dxa"/>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51" w:type="dxa"/>
          </w:tcPr>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1169" w:type="dxa"/>
          </w:tcPr>
          <w:p>
            <w:pPr>
              <w:pStyle w:val="7"/>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7"/>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办公区、生产车间所有灭火器，放置在规定的地方，办公场所卫生环境干净、光线充足合理。有“办公环境卫生管理制度”、“安全防火规定等规章制度”等规章制度。运行环境满足要求</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现场观察无异常。</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95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产品的服务和放行</w:t>
            </w:r>
          </w:p>
        </w:tc>
        <w:tc>
          <w:tcPr>
            <w:tcW w:w="1169" w:type="dxa"/>
          </w:tcPr>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S 8.1.4</w:t>
            </w:r>
          </w:p>
        </w:tc>
        <w:tc>
          <w:tcPr>
            <w:tcW w:w="10738" w:type="dxa"/>
          </w:tcPr>
          <w:p>
            <w:pPr>
              <w:spacing w:line="360" w:lineRule="auto"/>
              <w:ind w:firstLine="210" w:firstLineChars="100"/>
              <w:rPr>
                <w:rFonts w:ascii="宋体" w:hAnsi="宋体" w:cs="宋体"/>
                <w:color w:val="FF0000"/>
                <w:szCs w:val="21"/>
              </w:rPr>
            </w:pPr>
            <w:r>
              <w:rPr>
                <w:rFonts w:hint="eastAsia" w:ascii="宋体" w:hAnsi="宋体" w:cs="宋体"/>
                <w:szCs w:val="21"/>
              </w:rPr>
              <w:t>公司制定有：过程/产品服务的监视和测量控制程序对工作程序、检验分类、采购产品、半成品、成品检验和检验记录等做出了明确规定。试验室（质检）根据产品实现过程监视和测量策划的结果，按体系文件、公司规定确定的监视和测量点进行监视和测量作好监测记录，实施进货、过程和最终（成品）检验，并保持记录。见证：1、原材料进货检验规程、过程和最终（成品）检验规程，规定了检验项目、工作程序、记录要求、最终检验项目及标准等。编制：</w:t>
            </w:r>
            <w:r>
              <w:rPr>
                <w:rFonts w:hint="eastAsia" w:ascii="宋体" w:hAnsi="宋体" w:cs="宋体"/>
                <w:szCs w:val="21"/>
                <w:lang w:val="en-US" w:eastAsia="zh-CN"/>
              </w:rPr>
              <w:t>杨高</w:t>
            </w:r>
            <w:r>
              <w:rPr>
                <w:rFonts w:hint="eastAsia" w:ascii="宋体" w:hAnsi="宋体" w:cs="宋体"/>
                <w:szCs w:val="21"/>
              </w:rPr>
              <w:t>。审批：</w:t>
            </w:r>
            <w:r>
              <w:rPr>
                <w:rFonts w:hint="eastAsia" w:ascii="宋体" w:hAnsi="宋体" w:cs="宋体"/>
                <w:szCs w:val="21"/>
                <w:lang w:val="en-US" w:eastAsia="zh-CN"/>
              </w:rPr>
              <w:t>张咸</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以上文件，由</w:t>
            </w:r>
            <w:r>
              <w:rPr>
                <w:rFonts w:hint="eastAsia" w:ascii="宋体" w:hAnsi="宋体" w:cs="宋体"/>
                <w:szCs w:val="21"/>
                <w:lang w:val="en-US" w:eastAsia="zh-CN"/>
              </w:rPr>
              <w:t>实验</w:t>
            </w:r>
            <w:r>
              <w:rPr>
                <w:rFonts w:hint="eastAsia" w:ascii="宋体" w:hAnsi="宋体" w:cs="宋体"/>
                <w:szCs w:val="21"/>
              </w:rPr>
              <w:t>结合不同产品制定并执行。</w:t>
            </w:r>
          </w:p>
          <w:p>
            <w:pPr>
              <w:numPr>
                <w:ilvl w:val="0"/>
                <w:numId w:val="1"/>
              </w:num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查进货检验记录:</w:t>
            </w:r>
            <w:r>
              <w:t>--</w:t>
            </w:r>
            <w:r>
              <w:rPr>
                <w:rFonts w:hint="eastAsia"/>
                <w:b/>
                <w:bCs/>
              </w:rPr>
              <w:t>抽查进货检验记录和库房入库单</w:t>
            </w:r>
          </w:p>
          <w:p>
            <w:pPr>
              <w:ind w:left="-315" w:leftChars="-150" w:firstLine="632" w:firstLineChars="300"/>
              <w:rPr>
                <w:rFonts w:ascii="宋体"/>
              </w:rPr>
            </w:pPr>
            <w:r>
              <w:rPr>
                <w:rFonts w:hint="eastAsia"/>
                <w:b/>
                <w:bCs/>
              </w:rPr>
              <w:t>抽</w:t>
            </w:r>
            <w:r>
              <w:rPr>
                <w:b/>
                <w:bCs/>
              </w:rPr>
              <w:t>1</w:t>
            </w:r>
            <w:r>
              <w:rPr>
                <w:rFonts w:hint="eastAsia"/>
                <w:b/>
                <w:bCs/>
              </w:rPr>
              <w:t>：</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hint="default" w:ascii="宋体" w:eastAsia="宋体"/>
                <w:lang w:val="en-US" w:eastAsia="zh-CN"/>
              </w:rPr>
            </w:pPr>
            <w:r>
              <w:rPr>
                <w:rFonts w:hint="eastAsia" w:ascii="宋体" w:hAnsi="宋体"/>
              </w:rPr>
              <w:t>产品名称</w:t>
            </w:r>
            <w:r>
              <w:rPr>
                <w:rFonts w:ascii="宋体"/>
              </w:rPr>
              <w:tab/>
            </w:r>
            <w:r>
              <w:rPr>
                <w:rFonts w:hint="eastAsia" w:ascii="宋体"/>
                <w:lang w:val="en-US" w:eastAsia="zh-CN"/>
              </w:rPr>
              <w:t xml:space="preserve">  矿渣粉</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r>
              <w:rPr>
                <w:rFonts w:hint="eastAsia" w:ascii="宋体" w:hAnsi="宋体" w:cs="宋体"/>
                <w:lang w:val="en-US" w:eastAsia="zh-CN"/>
              </w:rPr>
              <w:t>S95</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hint="eastAsia" w:ascii="宋体"/>
                <w:lang w:val="en-US" w:eastAsia="zh-CN"/>
              </w:rPr>
              <w:t xml:space="preserve"> </w:t>
            </w:r>
            <w:r>
              <w:rPr>
                <w:rFonts w:hint="eastAsia"/>
                <w:color w:val="000000"/>
                <w:sz w:val="21"/>
                <w:szCs w:val="21"/>
                <w:lang w:val="en-US" w:eastAsia="zh-CN"/>
              </w:rPr>
              <w:t>武汉青源电力集团有限公司</w:t>
            </w:r>
            <w:r>
              <w:rPr>
                <w:rFonts w:ascii="宋体"/>
              </w:rPr>
              <w:tab/>
            </w:r>
            <w:r>
              <w:rPr>
                <w:rFonts w:hint="eastAsia" w:ascii="宋体"/>
              </w:rPr>
              <w:t xml:space="preserve"> </w:t>
            </w:r>
            <w:r>
              <w:rPr>
                <w:rFonts w:hint="eastAsia" w:ascii="宋体" w:hAnsi="宋体"/>
              </w:rPr>
              <w:t>生产日期</w:t>
            </w:r>
            <w:r>
              <w:rPr>
                <w:rFonts w:hint="eastAsia" w:ascii="宋体" w:hAnsi="宋体"/>
                <w:lang w:val="en-US" w:eastAsia="zh-CN"/>
              </w:rPr>
              <w:t>2020.11.28</w:t>
            </w:r>
          </w:p>
          <w:p>
            <w:pPr>
              <w:rPr>
                <w:rFonts w:hint="eastAsia" w:ascii="宋体" w:hAnsi="宋体" w:eastAsia="宋体" w:cs="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p>
          <w:p>
            <w:pPr>
              <w:rPr>
                <w:rFonts w:ascii="宋体" w:hAnsi="宋体"/>
              </w:rPr>
            </w:pPr>
            <w:r>
              <w:rPr>
                <w:rFonts w:hint="eastAsia" w:ascii="宋体" w:hAnsi="宋体"/>
                <w:lang w:val="en-US" w:eastAsia="zh-CN"/>
              </w:rPr>
              <w:t>比表面积</w:t>
            </w:r>
            <w:r>
              <w:rPr>
                <w:rFonts w:hint="eastAsia" w:ascii="宋体" w:hAnsi="宋体"/>
              </w:rPr>
              <w:t xml:space="preserve">             </w:t>
            </w:r>
            <w:r>
              <w:rPr>
                <w:rFonts w:hint="eastAsia" w:ascii="宋体" w:hAnsi="宋体" w:eastAsia="宋体" w:cs="宋体"/>
                <w:lang w:val="en-US" w:eastAsia="zh-CN"/>
              </w:rPr>
              <w:t>≧</w:t>
            </w:r>
            <w:r>
              <w:rPr>
                <w:rFonts w:hint="eastAsia" w:ascii="宋体" w:hAnsi="宋体"/>
                <w:lang w:val="en-US" w:eastAsia="zh-CN"/>
              </w:rPr>
              <w:t>400</w:t>
            </w:r>
            <w:r>
              <w:rPr>
                <w:rFonts w:hint="eastAsia" w:ascii="宋体" w:hAnsi="宋体"/>
              </w:rPr>
              <w:t xml:space="preserve">       </w:t>
            </w:r>
            <w:r>
              <w:rPr>
                <w:rFonts w:hint="eastAsia" w:ascii="宋体" w:hAnsi="宋体"/>
                <w:lang w:val="en-US" w:eastAsia="zh-CN"/>
              </w:rPr>
              <w:t>428</w:t>
            </w:r>
            <w:r>
              <w:rPr>
                <w:rFonts w:hint="eastAsia" w:ascii="宋体" w:hAnsi="宋体"/>
              </w:rPr>
              <w:t xml:space="preserve">           </w:t>
            </w:r>
          </w:p>
          <w:p>
            <w:pPr>
              <w:rPr>
                <w:rFonts w:hint="eastAsia" w:ascii="宋体" w:hAnsi="宋体"/>
                <w:lang w:val="en-US" w:eastAsia="zh-CN"/>
              </w:rPr>
            </w:pPr>
            <w:r>
              <w:rPr>
                <w:rFonts w:hint="eastAsia" w:ascii="宋体" w:hAnsi="宋体"/>
                <w:lang w:val="en-US" w:eastAsia="zh-CN"/>
              </w:rPr>
              <w:t xml:space="preserve">活性指数 7D          </w:t>
            </w:r>
            <w:r>
              <w:rPr>
                <w:rFonts w:hint="eastAsia" w:ascii="宋体" w:hAnsi="宋体"/>
              </w:rPr>
              <w:t xml:space="preserve"> </w:t>
            </w:r>
            <w:r>
              <w:rPr>
                <w:rFonts w:hint="eastAsia" w:ascii="宋体" w:hAnsi="宋体" w:eastAsia="宋体" w:cs="宋体"/>
                <w:lang w:val="en-US" w:eastAsia="zh-CN"/>
              </w:rPr>
              <w:t>≧</w:t>
            </w:r>
            <w:r>
              <w:rPr>
                <w:rFonts w:hint="eastAsia" w:ascii="宋体" w:hAnsi="宋体"/>
                <w:lang w:val="en-US" w:eastAsia="zh-CN"/>
              </w:rPr>
              <w:t>55</w:t>
            </w:r>
            <w:r>
              <w:rPr>
                <w:rFonts w:hint="eastAsia" w:ascii="宋体" w:hAnsi="宋体"/>
              </w:rPr>
              <w:t xml:space="preserve">        </w:t>
            </w:r>
            <w:r>
              <w:rPr>
                <w:rFonts w:hint="eastAsia" w:ascii="宋体" w:hAnsi="宋体"/>
                <w:lang w:val="en-US" w:eastAsia="zh-CN"/>
              </w:rPr>
              <w:t>73</w:t>
            </w:r>
          </w:p>
          <w:p>
            <w:pPr>
              <w:rPr>
                <w:rFonts w:hint="default" w:ascii="宋体" w:hAnsi="宋体" w:eastAsia="宋体"/>
                <w:lang w:val="en-US" w:eastAsia="zh-CN"/>
              </w:rPr>
            </w:pPr>
            <w:r>
              <w:rPr>
                <w:rFonts w:hint="eastAsia" w:ascii="宋体" w:hAnsi="宋体"/>
                <w:lang w:val="en-US" w:eastAsia="zh-CN"/>
              </w:rPr>
              <w:t xml:space="preserve">活性指数 28D          </w:t>
            </w:r>
            <w:r>
              <w:rPr>
                <w:rFonts w:hint="eastAsia" w:ascii="宋体" w:hAnsi="宋体"/>
              </w:rPr>
              <w:t xml:space="preserve"> </w:t>
            </w:r>
            <w:r>
              <w:rPr>
                <w:rFonts w:hint="eastAsia" w:ascii="宋体" w:hAnsi="宋体" w:eastAsia="宋体" w:cs="宋体"/>
                <w:lang w:val="en-US" w:eastAsia="zh-CN"/>
              </w:rPr>
              <w:t>≧</w:t>
            </w:r>
            <w:r>
              <w:rPr>
                <w:rFonts w:hint="eastAsia" w:ascii="宋体" w:hAnsi="宋体"/>
                <w:lang w:val="en-US" w:eastAsia="zh-CN"/>
              </w:rPr>
              <w:t>75</w:t>
            </w:r>
            <w:r>
              <w:rPr>
                <w:rFonts w:hint="eastAsia" w:ascii="宋体" w:hAnsi="宋体"/>
              </w:rPr>
              <w:t xml:space="preserve">       </w:t>
            </w:r>
            <w:r>
              <w:rPr>
                <w:rFonts w:hint="eastAsia" w:ascii="宋体" w:hAnsi="宋体"/>
                <w:lang w:val="en-US" w:eastAsia="zh-CN"/>
              </w:rPr>
              <w:t>100</w:t>
            </w:r>
          </w:p>
          <w:p>
            <w:pPr>
              <w:rPr>
                <w:rFonts w:hint="default" w:ascii="宋体" w:hAnsi="宋体"/>
                <w:lang w:val="en-US" w:eastAsia="zh-CN"/>
              </w:rPr>
            </w:pPr>
            <w:r>
              <w:rPr>
                <w:rFonts w:hint="eastAsia" w:ascii="宋体" w:hAnsi="宋体"/>
                <w:lang w:val="en-US" w:eastAsia="zh-CN"/>
              </w:rPr>
              <w:t xml:space="preserve">流动比                 </w:t>
            </w:r>
            <w:r>
              <w:rPr>
                <w:rFonts w:hint="eastAsia" w:ascii="宋体" w:hAnsi="宋体"/>
              </w:rPr>
              <w:t xml:space="preserve"> </w:t>
            </w:r>
            <w:r>
              <w:rPr>
                <w:rFonts w:hint="eastAsia" w:ascii="宋体" w:hAnsi="宋体" w:eastAsia="宋体" w:cs="宋体"/>
                <w:lang w:val="en-US" w:eastAsia="zh-CN"/>
              </w:rPr>
              <w:t>≧</w:t>
            </w:r>
            <w:r>
              <w:rPr>
                <w:rFonts w:hint="eastAsia" w:ascii="宋体" w:hAnsi="宋体"/>
                <w:lang w:val="en-US" w:eastAsia="zh-CN"/>
              </w:rPr>
              <w:t>90      103</w:t>
            </w:r>
          </w:p>
          <w:p>
            <w:pPr>
              <w:ind w:left="-315" w:leftChars="-150" w:firstLine="630" w:firstLineChars="300"/>
              <w:rPr>
                <w:rFonts w:ascii="宋体"/>
              </w:rPr>
            </w:pPr>
            <w:r>
              <w:rPr>
                <w:rFonts w:hint="eastAsia" w:ascii="宋体" w:hAnsi="宋体"/>
              </w:rPr>
              <w:t>验证结论：符合</w:t>
            </w:r>
            <w:r>
              <w:rPr>
                <w:rFonts w:hint="eastAsia" w:ascii="宋体" w:hAnsi="宋体"/>
                <w:lang w:val="en-US" w:eastAsia="zh-CN"/>
              </w:rPr>
              <w:t>GB</w:t>
            </w:r>
            <w:r>
              <w:rPr>
                <w:rFonts w:hint="eastAsia" w:ascii="宋体" w:hAnsi="宋体"/>
              </w:rPr>
              <w:t>T</w:t>
            </w:r>
            <w:r>
              <w:rPr>
                <w:rFonts w:hint="eastAsia" w:ascii="宋体" w:hAnsi="宋体"/>
                <w:lang w:val="en-US" w:eastAsia="zh-CN"/>
              </w:rPr>
              <w:t>18046</w:t>
            </w:r>
            <w:r>
              <w:rPr>
                <w:rFonts w:hint="eastAsia" w:ascii="宋体" w:hAnsi="宋体"/>
              </w:rPr>
              <w:t>-20</w:t>
            </w:r>
            <w:r>
              <w:rPr>
                <w:rFonts w:hint="eastAsia" w:ascii="宋体" w:hAnsi="宋体"/>
                <w:lang w:val="en-US" w:eastAsia="zh-CN"/>
              </w:rPr>
              <w:t>17</w:t>
            </w:r>
            <w:r>
              <w:rPr>
                <w:rFonts w:hint="eastAsia" w:ascii="宋体" w:hAnsi="宋体"/>
              </w:rPr>
              <w:t>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20.11.29</w:t>
            </w:r>
          </w:p>
          <w:p>
            <w:pPr>
              <w:ind w:left="-315" w:leftChars="-150" w:firstLine="630" w:firstLineChars="300"/>
              <w:rPr>
                <w:rFonts w:hint="default" w:asci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20.11.30</w:t>
            </w:r>
          </w:p>
          <w:p>
            <w:pPr>
              <w:ind w:left="-315" w:leftChars="-150" w:firstLine="632" w:firstLineChars="300"/>
              <w:rPr>
                <w:rFonts w:ascii="宋体"/>
                <w:b/>
                <w:bCs/>
              </w:rPr>
            </w:pPr>
          </w:p>
          <w:p>
            <w:pPr>
              <w:ind w:left="-315" w:leftChars="-150" w:firstLine="632" w:firstLineChars="300"/>
              <w:rPr>
                <w:rFonts w:ascii="宋体"/>
                <w:b/>
                <w:bCs/>
              </w:rPr>
            </w:pPr>
            <w:r>
              <w:rPr>
                <w:rFonts w:hint="eastAsia" w:ascii="宋体" w:hAnsi="宋体"/>
                <w:b/>
                <w:bCs/>
              </w:rPr>
              <w:t>抽</w:t>
            </w:r>
            <w:r>
              <w:rPr>
                <w:rFonts w:hint="eastAsia" w:ascii="宋体" w:hAnsi="宋体"/>
                <w:b/>
                <w:bCs/>
                <w:lang w:val="en-US" w:eastAsia="zh-CN"/>
              </w:rPr>
              <w:t>2</w:t>
            </w:r>
            <w:r>
              <w:rPr>
                <w:rFonts w:hint="eastAsia" w:ascii="宋体" w:hAnsi="宋体"/>
                <w:b/>
                <w:bCs/>
              </w:rPr>
              <w:t>：</w:t>
            </w:r>
          </w:p>
          <w:p>
            <w:pPr>
              <w:ind w:left="-315" w:leftChars="-150" w:firstLine="630" w:firstLineChars="300"/>
              <w:rPr>
                <w:rFonts w:hint="default" w:ascii="宋体" w:eastAsia="宋体"/>
                <w:lang w:val="en-US" w:eastAsia="zh-CN"/>
              </w:rPr>
            </w:pPr>
            <w:r>
              <w:rPr>
                <w:rFonts w:hint="eastAsia" w:ascii="宋体" w:hAnsi="宋体"/>
              </w:rPr>
              <w:t>产品名称</w:t>
            </w:r>
            <w:r>
              <w:rPr>
                <w:rFonts w:ascii="宋体"/>
              </w:rPr>
              <w:tab/>
            </w:r>
            <w:r>
              <w:rPr>
                <w:rFonts w:hint="eastAsia" w:ascii="宋体"/>
              </w:rPr>
              <w:t xml:space="preserve">   </w:t>
            </w:r>
            <w:r>
              <w:rPr>
                <w:rFonts w:hint="eastAsia" w:ascii="宋体"/>
                <w:lang w:val="en-US" w:eastAsia="zh-CN"/>
              </w:rPr>
              <w:t>减水剂</w:t>
            </w:r>
            <w:r>
              <w:rPr>
                <w:rFonts w:ascii="宋体"/>
              </w:rPr>
              <w:tab/>
            </w:r>
            <w:r>
              <w:rPr>
                <w:rFonts w:hint="eastAsia" w:ascii="宋体"/>
              </w:rPr>
              <w:t xml:space="preserve">    </w:t>
            </w:r>
            <w:r>
              <w:rPr>
                <w:rFonts w:hint="eastAsia" w:ascii="宋体" w:hAnsi="宋体"/>
              </w:rPr>
              <w:t>型号规格</w:t>
            </w:r>
            <w:r>
              <w:rPr>
                <w:rFonts w:hint="eastAsia" w:ascii="宋体" w:hAnsi="宋体"/>
                <w:lang w:val="en-US" w:eastAsia="zh-CN"/>
              </w:rPr>
              <w:t>JSS-BM-A01</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color w:val="000000"/>
                <w:sz w:val="21"/>
                <w:szCs w:val="21"/>
                <w:lang w:val="en-US" w:eastAsia="zh-CN"/>
              </w:rPr>
              <w:t>华烁科技股份</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20.11.17</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ascii="宋体"/>
              </w:rPr>
              <w:tab/>
            </w:r>
            <w:r>
              <w:rPr>
                <w:rFonts w:hint="eastAsia" w:ascii="宋体"/>
              </w:rPr>
              <w:t xml:space="preserve">      </w:t>
            </w:r>
          </w:p>
          <w:p>
            <w:pPr>
              <w:rPr>
                <w:rFonts w:ascii="宋体" w:hAnsi="宋体"/>
              </w:rPr>
            </w:pPr>
            <w:r>
              <w:rPr>
                <w:rFonts w:hint="eastAsia" w:ascii="宋体" w:hAnsi="宋体"/>
                <w:lang w:val="en-US" w:eastAsia="zh-CN"/>
              </w:rPr>
              <w:t>固含量</w:t>
            </w:r>
            <w:r>
              <w:rPr>
                <w:rFonts w:hint="eastAsia" w:ascii="宋体" w:hAnsi="宋体"/>
              </w:rPr>
              <w:t xml:space="preserve">             </w:t>
            </w:r>
            <w:r>
              <w:rPr>
                <w:rFonts w:hint="eastAsia" w:ascii="宋体" w:hAnsi="宋体"/>
                <w:lang w:val="en-US" w:eastAsia="zh-CN"/>
              </w:rPr>
              <w:t>6.0</w:t>
            </w:r>
            <w:r>
              <w:rPr>
                <w:rFonts w:hint="eastAsia" w:ascii="宋体" w:hAnsi="宋体" w:eastAsia="宋体" w:cs="宋体"/>
                <w:lang w:val="en-US" w:eastAsia="zh-CN"/>
              </w:rPr>
              <w:t>±</w:t>
            </w:r>
            <w:r>
              <w:rPr>
                <w:rFonts w:hint="eastAsia" w:ascii="宋体" w:hAnsi="宋体" w:cs="宋体"/>
                <w:lang w:val="en-US" w:eastAsia="zh-CN"/>
              </w:rPr>
              <w:t>1.0        5.8</w:t>
            </w:r>
            <w:r>
              <w:rPr>
                <w:rFonts w:hint="eastAsia" w:ascii="宋体" w:hAnsi="宋体"/>
              </w:rPr>
              <w:t xml:space="preserve">           </w:t>
            </w:r>
          </w:p>
          <w:p>
            <w:pPr>
              <w:rPr>
                <w:rFonts w:hint="default" w:ascii="宋体" w:hAnsi="宋体" w:eastAsia="宋体"/>
                <w:lang w:val="en-US" w:eastAsia="zh-CN"/>
              </w:rPr>
            </w:pPr>
            <w:r>
              <w:rPr>
                <w:rFonts w:hint="eastAsia" w:ascii="宋体" w:hAnsi="宋体"/>
              </w:rPr>
              <w:t xml:space="preserve">密度              </w:t>
            </w:r>
            <w:r>
              <w:rPr>
                <w:rFonts w:hint="eastAsia" w:ascii="宋体" w:hAnsi="宋体"/>
                <w:lang w:val="en-US" w:eastAsia="zh-CN"/>
              </w:rPr>
              <w:t>1.012</w:t>
            </w:r>
            <w:r>
              <w:rPr>
                <w:rFonts w:hint="eastAsia" w:ascii="宋体" w:hAnsi="宋体" w:eastAsia="宋体" w:cs="宋体"/>
                <w:lang w:val="en-US" w:eastAsia="zh-CN"/>
              </w:rPr>
              <w:t>±</w:t>
            </w:r>
            <w:r>
              <w:rPr>
                <w:rFonts w:hint="eastAsia" w:ascii="宋体" w:hAnsi="宋体" w:cs="宋体"/>
                <w:lang w:val="en-US" w:eastAsia="zh-CN"/>
              </w:rPr>
              <w:t>0.020     1.0</w:t>
            </w:r>
          </w:p>
          <w:p>
            <w:pPr>
              <w:rPr>
                <w:rFonts w:hint="default" w:ascii="宋体" w:hAnsi="宋体" w:eastAsia="宋体"/>
                <w:lang w:val="en-US" w:eastAsia="zh-CN"/>
              </w:rPr>
            </w:pPr>
            <w:r>
              <w:rPr>
                <w:rFonts w:hint="eastAsia" w:ascii="宋体" w:hAnsi="宋体"/>
                <w:lang w:val="en-US" w:eastAsia="zh-CN"/>
              </w:rPr>
              <w:t>净浆流动度</w:t>
            </w:r>
            <w:r>
              <w:rPr>
                <w:rFonts w:hint="eastAsia" w:ascii="宋体" w:hAnsi="宋体"/>
              </w:rPr>
              <w:t xml:space="preserve">       </w:t>
            </w:r>
            <w:r>
              <w:rPr>
                <w:rFonts w:hint="eastAsia" w:ascii="宋体" w:hAnsi="宋体"/>
                <w:lang w:val="en-US" w:eastAsia="zh-CN"/>
              </w:rPr>
              <w:t xml:space="preserve">    </w:t>
            </w:r>
            <w:r>
              <w:rPr>
                <w:rFonts w:hint="eastAsia" w:ascii="宋体" w:hAnsi="宋体" w:eastAsia="宋体" w:cs="宋体"/>
                <w:lang w:val="en-US" w:eastAsia="zh-CN"/>
              </w:rPr>
              <w:t>≧</w:t>
            </w:r>
            <w:r>
              <w:rPr>
                <w:rFonts w:hint="eastAsia" w:ascii="宋体" w:hAnsi="宋体"/>
                <w:lang w:val="en-US" w:eastAsia="zh-CN"/>
              </w:rPr>
              <w:t>240</w:t>
            </w:r>
            <w:r>
              <w:rPr>
                <w:rFonts w:hint="eastAsia" w:ascii="宋体" w:hAnsi="宋体"/>
              </w:rPr>
              <w:t xml:space="preserve">        </w:t>
            </w:r>
            <w:r>
              <w:rPr>
                <w:rFonts w:hint="eastAsia" w:ascii="宋体" w:hAnsi="宋体"/>
                <w:lang w:val="en-US" w:eastAsia="zh-CN"/>
              </w:rPr>
              <w:t>245.0</w:t>
            </w:r>
          </w:p>
          <w:p>
            <w:pPr>
              <w:rPr>
                <w:rFonts w:hint="eastAsia" w:ascii="宋体" w:hAnsi="宋体"/>
                <w:lang w:val="en-US" w:eastAsia="zh-CN"/>
              </w:rPr>
            </w:pPr>
            <w:r>
              <w:rPr>
                <w:rFonts w:hint="eastAsia" w:ascii="宋体" w:hAnsi="宋体"/>
                <w:lang w:val="en-US" w:eastAsia="zh-CN"/>
              </w:rPr>
              <w:t>减水率</w:t>
            </w:r>
            <w:r>
              <w:rPr>
                <w:rFonts w:hint="eastAsia" w:ascii="宋体" w:hAnsi="宋体"/>
              </w:rPr>
              <w:t xml:space="preserve">          </w:t>
            </w:r>
            <w:r>
              <w:rPr>
                <w:rFonts w:hint="eastAsia" w:ascii="宋体" w:hAnsi="宋体"/>
                <w:lang w:val="en-US" w:eastAsia="zh-CN"/>
              </w:rPr>
              <w:t xml:space="preserve">     20-30</w:t>
            </w:r>
            <w:r>
              <w:rPr>
                <w:rFonts w:hint="eastAsia" w:ascii="宋体" w:hAnsi="宋体"/>
              </w:rPr>
              <w:t xml:space="preserve">       </w:t>
            </w:r>
            <w:r>
              <w:rPr>
                <w:rFonts w:hint="eastAsia" w:ascii="宋体" w:hAnsi="宋体"/>
                <w:lang w:val="en-US" w:eastAsia="zh-CN"/>
              </w:rPr>
              <w:t xml:space="preserve">  26</w:t>
            </w:r>
          </w:p>
          <w:p>
            <w:pPr>
              <w:ind w:left="-315" w:leftChars="-150" w:firstLine="630" w:firstLineChars="300"/>
              <w:rPr>
                <w:rFonts w:ascii="宋体"/>
              </w:rPr>
            </w:pPr>
            <w:r>
              <w:rPr>
                <w:rFonts w:hint="eastAsia" w:ascii="宋体" w:hAnsi="宋体"/>
              </w:rPr>
              <w:t>验证结论：符合</w:t>
            </w:r>
            <w:r>
              <w:rPr>
                <w:rFonts w:hint="eastAsia" w:ascii="宋体" w:hAnsi="宋体"/>
                <w:lang w:val="en-US" w:eastAsia="zh-CN"/>
              </w:rPr>
              <w:t>GB8076</w:t>
            </w:r>
            <w:r>
              <w:rPr>
                <w:rFonts w:hint="eastAsia" w:ascii="宋体" w:hAnsi="宋体"/>
              </w:rPr>
              <w:t>-200</w:t>
            </w:r>
            <w:r>
              <w:rPr>
                <w:rFonts w:hint="eastAsia" w:ascii="宋体" w:hAnsi="宋体"/>
                <w:lang w:val="en-US" w:eastAsia="zh-CN"/>
              </w:rPr>
              <w:t>8</w:t>
            </w:r>
            <w:r>
              <w:rPr>
                <w:rFonts w:hint="eastAsia" w:ascii="宋体" w:hAnsi="宋体"/>
              </w:rPr>
              <w:t>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20.11.17</w:t>
            </w:r>
          </w:p>
          <w:p>
            <w:pPr>
              <w:ind w:left="-315" w:leftChars="-150" w:firstLine="630" w:firstLineChars="300"/>
              <w:rPr>
                <w:rFonts w:hint="default" w:asci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20.11.20</w:t>
            </w:r>
          </w:p>
          <w:p>
            <w:pPr>
              <w:ind w:left="-315" w:leftChars="-150" w:firstLine="632" w:firstLineChars="300"/>
              <w:rPr>
                <w:rFonts w:ascii="宋体"/>
                <w:b/>
                <w:bCs/>
              </w:rPr>
            </w:pP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3</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混合砂</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r>
              <w:rPr>
                <w:rFonts w:hint="eastAsia" w:ascii="宋体" w:hAnsi="宋体"/>
              </w:rPr>
              <w:t>中粗砂</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钟祥</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20.12.1</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p>
          <w:p>
            <w:pPr>
              <w:rPr>
                <w:rFonts w:ascii="宋体" w:hAnsi="宋体"/>
              </w:rPr>
            </w:pPr>
            <w:r>
              <w:rPr>
                <w:rFonts w:hint="eastAsia" w:ascii="宋体" w:hAnsi="宋体"/>
              </w:rPr>
              <w:t xml:space="preserve">细度模块                        2.8           </w:t>
            </w:r>
          </w:p>
          <w:p>
            <w:pPr>
              <w:rPr>
                <w:rFonts w:ascii="宋体" w:hAnsi="宋体"/>
              </w:rPr>
            </w:pPr>
            <w:r>
              <w:rPr>
                <w:rFonts w:hint="eastAsia" w:ascii="宋体" w:hAnsi="宋体"/>
              </w:rPr>
              <w:t>表观密度试验                    2560kg/m3</w:t>
            </w:r>
          </w:p>
          <w:p>
            <w:pPr>
              <w:rPr>
                <w:rFonts w:ascii="宋体" w:hAnsi="宋体"/>
              </w:rPr>
            </w:pPr>
            <w:r>
              <w:rPr>
                <w:rFonts w:hint="eastAsia" w:ascii="宋体" w:hAnsi="宋体"/>
              </w:rPr>
              <w:t>堆积密度试验       1400         1460kg/m3</w:t>
            </w:r>
          </w:p>
          <w:p>
            <w:pPr>
              <w:rPr>
                <w:rFonts w:ascii="宋体" w:hAnsi="宋体"/>
              </w:rPr>
            </w:pPr>
            <w:r>
              <w:rPr>
                <w:rFonts w:hint="eastAsia" w:ascii="宋体" w:hAnsi="宋体"/>
              </w:rPr>
              <w:t>含泥量试验          ≤3.0%        2.1%</w:t>
            </w:r>
          </w:p>
          <w:p>
            <w:pPr>
              <w:rPr>
                <w:rFonts w:ascii="宋体"/>
              </w:rPr>
            </w:pPr>
            <w:r>
              <w:rPr>
                <w:rFonts w:hint="eastAsia" w:ascii="宋体" w:hAnsi="宋体"/>
              </w:rPr>
              <w:t>泥块含量试验        ≤1.0%           0.5%</w:t>
            </w:r>
          </w:p>
          <w:p>
            <w:pPr>
              <w:ind w:left="-315" w:leftChars="-150" w:firstLine="630" w:firstLineChars="300"/>
              <w:rPr>
                <w:rFonts w:ascii="宋体"/>
              </w:rPr>
            </w:pPr>
            <w:r>
              <w:rPr>
                <w:rFonts w:hint="eastAsia" w:ascii="宋体" w:hAnsi="宋体"/>
              </w:rPr>
              <w:t>验证结论：符合JGT52-2006要求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20.12.2</w:t>
            </w:r>
          </w:p>
          <w:p>
            <w:pPr>
              <w:ind w:left="-315" w:leftChars="-150" w:firstLine="630" w:firstLineChars="300"/>
              <w:rPr>
                <w:rFonts w:hint="default" w:ascii="宋体" w:hAns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20.12.3</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4</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碎石</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荆门</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20.12.1</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ascii="宋体" w:hAnsi="宋体"/>
              </w:rPr>
            </w:pPr>
            <w:r>
              <w:rPr>
                <w:rFonts w:hint="eastAsia" w:ascii="宋体" w:hAnsi="宋体"/>
              </w:rPr>
              <w:t>表观密度试验                    2520kg/m3</w:t>
            </w:r>
          </w:p>
          <w:p>
            <w:pPr>
              <w:rPr>
                <w:rFonts w:ascii="宋体" w:hAnsi="宋体"/>
              </w:rPr>
            </w:pPr>
            <w:r>
              <w:rPr>
                <w:rFonts w:hint="eastAsia" w:ascii="宋体" w:hAnsi="宋体"/>
              </w:rPr>
              <w:t>堆积密度试验         ≥1350     1410kg/m3</w:t>
            </w:r>
          </w:p>
          <w:p>
            <w:pPr>
              <w:rPr>
                <w:rFonts w:ascii="宋体" w:hAnsi="宋体"/>
              </w:rPr>
            </w:pPr>
            <w:r>
              <w:rPr>
                <w:rFonts w:hint="eastAsia" w:ascii="宋体" w:hAnsi="宋体"/>
              </w:rPr>
              <w:t>含泥量试验            ≤1.0      0.6%</w:t>
            </w:r>
          </w:p>
          <w:p>
            <w:pPr>
              <w:rPr>
                <w:rFonts w:ascii="宋体" w:hAnsi="宋体"/>
              </w:rPr>
            </w:pPr>
            <w:r>
              <w:rPr>
                <w:rFonts w:hint="eastAsia" w:ascii="宋体" w:hAnsi="宋体"/>
              </w:rPr>
              <w:t>泥块含量试验          ≤0.2      0.2%</w:t>
            </w:r>
          </w:p>
          <w:p>
            <w:pPr>
              <w:rPr>
                <w:rFonts w:ascii="宋体"/>
              </w:rPr>
            </w:pPr>
            <w:r>
              <w:rPr>
                <w:rFonts w:hint="eastAsia" w:ascii="宋体" w:hAnsi="宋体"/>
              </w:rPr>
              <w:t>针片状颗粒           ≤10%      8%</w:t>
            </w:r>
          </w:p>
          <w:p>
            <w:pPr>
              <w:ind w:left="-315" w:leftChars="-150" w:firstLine="630" w:firstLineChars="300"/>
              <w:rPr>
                <w:rFonts w:ascii="宋体"/>
              </w:rPr>
            </w:pPr>
            <w:r>
              <w:rPr>
                <w:rFonts w:hint="eastAsia" w:ascii="宋体" w:hAnsi="宋体"/>
              </w:rPr>
              <w:t>验证结论：符合GBT14685-2011要求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20.12.2</w:t>
            </w:r>
          </w:p>
          <w:p>
            <w:pPr>
              <w:ind w:left="-315" w:leftChars="-150" w:firstLine="630" w:firstLineChars="300"/>
              <w:rPr>
                <w:rFonts w:hint="default" w:ascii="宋体" w:hAns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20.12.3</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5</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水泥</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color w:val="000000"/>
                <w:sz w:val="21"/>
                <w:szCs w:val="21"/>
                <w:lang w:val="en-US" w:eastAsia="zh-CN"/>
              </w:rPr>
              <w:t>大冶尖峰水泥</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20.11.1</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ascii="宋体" w:hAnsi="宋体"/>
              </w:rPr>
            </w:pPr>
            <w:r>
              <w:rPr>
                <w:rFonts w:hint="eastAsia" w:ascii="宋体" w:hAnsi="宋体"/>
              </w:rPr>
              <w:t>抗析强度             ≥4.0       6.2mpa</w:t>
            </w:r>
          </w:p>
          <w:p>
            <w:pPr>
              <w:rPr>
                <w:rFonts w:ascii="宋体" w:hAnsi="宋体"/>
              </w:rPr>
            </w:pPr>
            <w:r>
              <w:rPr>
                <w:rFonts w:hint="eastAsia" w:ascii="宋体" w:hAnsi="宋体"/>
              </w:rPr>
              <w:t>抗压强度             ≥17        30 mpa</w:t>
            </w:r>
          </w:p>
          <w:p>
            <w:pPr>
              <w:rPr>
                <w:rFonts w:ascii="宋体"/>
              </w:rPr>
            </w:pPr>
            <w:r>
              <w:rPr>
                <w:rFonts w:hint="eastAsia" w:ascii="宋体" w:hAnsi="宋体"/>
              </w:rPr>
              <w:t>验证结论：合格</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w:t>
            </w:r>
          </w:p>
          <w:p>
            <w:pPr>
              <w:ind w:left="-315" w:leftChars="-150" w:firstLine="630" w:firstLineChars="300"/>
              <w:rPr>
                <w:rFonts w:hint="eastAsia" w:ascii="宋体" w:hAnsi="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6</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lang w:val="en-US" w:eastAsia="zh-CN"/>
              </w:rPr>
              <w:t>粉煤灰</w:t>
            </w:r>
            <w:r>
              <w:rPr>
                <w:rFonts w:ascii="宋体"/>
              </w:rPr>
              <w:tab/>
            </w:r>
            <w:r>
              <w:rPr>
                <w:rFonts w:hint="eastAsia" w:ascii="宋体"/>
              </w:rPr>
              <w:t xml:space="preserve">    </w:t>
            </w:r>
            <w:r>
              <w:rPr>
                <w:rFonts w:hint="eastAsia" w:ascii="宋体" w:hAnsi="宋体"/>
              </w:rPr>
              <w:t>型号规格</w:t>
            </w:r>
            <w:r>
              <w:rPr>
                <w:rFonts w:hint="eastAsia" w:ascii="宋体" w:hAnsi="宋体"/>
                <w:lang w:val="en-US" w:eastAsia="zh-CN"/>
              </w:rPr>
              <w:t xml:space="preserve">   二级</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color w:val="000000"/>
                <w:sz w:val="21"/>
                <w:szCs w:val="21"/>
                <w:lang w:val="en-US" w:eastAsia="zh-CN"/>
              </w:rPr>
              <w:t>武汉青源电力集团</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20.11.17</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hint="default" w:ascii="宋体" w:hAnsi="宋体" w:eastAsia="宋体"/>
                <w:lang w:val="en-US" w:eastAsia="zh-CN"/>
              </w:rPr>
            </w:pPr>
            <w:r>
              <w:rPr>
                <w:rFonts w:hint="eastAsia" w:ascii="宋体" w:hAnsi="宋体"/>
                <w:lang w:val="en-US" w:eastAsia="zh-CN"/>
              </w:rPr>
              <w:t>细度</w:t>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30</w:t>
            </w:r>
            <w:r>
              <w:rPr>
                <w:rFonts w:hint="eastAsia" w:ascii="宋体" w:hAnsi="宋体"/>
              </w:rPr>
              <w:t xml:space="preserve">      </w:t>
            </w:r>
            <w:r>
              <w:rPr>
                <w:rFonts w:hint="eastAsia" w:ascii="宋体" w:hAnsi="宋体"/>
                <w:lang w:val="en-US" w:eastAsia="zh-CN"/>
              </w:rPr>
              <w:t xml:space="preserve">   20.4</w:t>
            </w:r>
          </w:p>
          <w:p>
            <w:pPr>
              <w:rPr>
                <w:rFonts w:hint="eastAsia" w:ascii="宋体" w:hAnsi="宋体"/>
                <w:lang w:val="en-US" w:eastAsia="zh-CN"/>
              </w:rPr>
            </w:pPr>
            <w:r>
              <w:rPr>
                <w:rFonts w:hint="eastAsia" w:ascii="宋体" w:hAnsi="宋体"/>
                <w:lang w:val="en-US" w:eastAsia="zh-CN"/>
              </w:rPr>
              <w:t>需水量比</w:t>
            </w:r>
            <w:r>
              <w:rPr>
                <w:rFonts w:hint="eastAsia" w:ascii="宋体" w:hAnsi="宋体"/>
              </w:rPr>
              <w:t xml:space="preserve">           ≤</w:t>
            </w:r>
            <w:r>
              <w:rPr>
                <w:rFonts w:hint="eastAsia" w:ascii="宋体" w:hAnsi="宋体"/>
                <w:lang w:val="en-US" w:eastAsia="zh-CN"/>
              </w:rPr>
              <w:t>105        98.0</w:t>
            </w:r>
          </w:p>
          <w:p>
            <w:pPr>
              <w:rPr>
                <w:rFonts w:hint="eastAsia" w:ascii="宋体" w:hAnsi="宋体"/>
                <w:lang w:val="en-US" w:eastAsia="zh-CN"/>
              </w:rPr>
            </w:pPr>
            <w:r>
              <w:rPr>
                <w:rFonts w:hint="eastAsia" w:ascii="宋体" w:hAnsi="宋体"/>
              </w:rPr>
              <w:t xml:space="preserve"> </w:t>
            </w:r>
            <w:r>
              <w:rPr>
                <w:rFonts w:hint="eastAsia" w:ascii="宋体" w:hAnsi="宋体"/>
                <w:lang w:val="en-US" w:eastAsia="zh-CN"/>
              </w:rPr>
              <w:t xml:space="preserve">烧失量             </w:t>
            </w:r>
            <w:r>
              <w:rPr>
                <w:rFonts w:hint="eastAsia" w:ascii="宋体" w:hAnsi="宋体"/>
              </w:rPr>
              <w:t xml:space="preserve"> ≤</w:t>
            </w:r>
            <w:r>
              <w:rPr>
                <w:rFonts w:hint="eastAsia" w:ascii="宋体" w:hAnsi="宋体"/>
                <w:lang w:val="en-US" w:eastAsia="zh-CN"/>
              </w:rPr>
              <w:t>8        2.9</w:t>
            </w:r>
          </w:p>
          <w:p>
            <w:pPr>
              <w:rPr>
                <w:rFonts w:ascii="宋体" w:hAnsi="宋体"/>
              </w:rPr>
            </w:pPr>
            <w:r>
              <w:rPr>
                <w:rFonts w:hint="eastAsia" w:ascii="宋体" w:hAnsi="宋体"/>
                <w:lang w:val="en-US" w:eastAsia="zh-CN"/>
              </w:rPr>
              <w:t xml:space="preserve">含水量               </w:t>
            </w:r>
            <w:r>
              <w:rPr>
                <w:rFonts w:hint="eastAsia" w:ascii="宋体" w:hAnsi="宋体"/>
              </w:rPr>
              <w:t xml:space="preserve"> ≤</w:t>
            </w:r>
            <w:r>
              <w:rPr>
                <w:rFonts w:hint="eastAsia" w:ascii="宋体" w:hAnsi="宋体"/>
                <w:lang w:val="en-US" w:eastAsia="zh-CN"/>
              </w:rPr>
              <w:t xml:space="preserve">1        0.3 </w:t>
            </w:r>
            <w:r>
              <w:rPr>
                <w:rFonts w:hint="eastAsia" w:ascii="宋体" w:hAnsi="宋体"/>
              </w:rPr>
              <w:t xml:space="preserve">        </w:t>
            </w:r>
          </w:p>
          <w:p>
            <w:pPr>
              <w:rPr>
                <w:rFonts w:ascii="宋体"/>
              </w:rPr>
            </w:pPr>
            <w:r>
              <w:rPr>
                <w:rFonts w:hint="eastAsia" w:ascii="宋体" w:hAnsi="宋体"/>
              </w:rPr>
              <w:t>验证结论：合格</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w:t>
            </w:r>
          </w:p>
          <w:p>
            <w:pPr>
              <w:ind w:left="-315" w:leftChars="-150" w:firstLine="630" w:firstLineChars="300"/>
              <w:rPr>
                <w:rFonts w:hint="default" w:ascii="宋体" w:hAns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w:t>
            </w:r>
          </w:p>
          <w:p>
            <w:pPr>
              <w:rPr>
                <w:rFonts w:ascii="宋体" w:hAnsi="宋体"/>
              </w:rPr>
            </w:pPr>
            <w:r>
              <w:rPr>
                <w:rFonts w:hint="eastAsia" w:ascii="宋体" w:hAnsi="宋体"/>
              </w:rPr>
              <w:t>原材料经检测过磅后，由库管</w:t>
            </w:r>
            <w:r>
              <w:rPr>
                <w:rFonts w:hint="eastAsia" w:ascii="宋体" w:hAnsi="宋体"/>
                <w:lang w:val="en-US" w:eastAsia="zh-CN"/>
              </w:rPr>
              <w:t>秦明亮</w:t>
            </w:r>
            <w:r>
              <w:rPr>
                <w:rFonts w:hint="eastAsia" w:ascii="宋体" w:hAnsi="宋体"/>
              </w:rPr>
              <w:t>验收签字，存放在指定堆场。</w:t>
            </w:r>
          </w:p>
          <w:p>
            <w:pPr>
              <w:ind w:left="-315" w:leftChars="-150" w:firstLine="630" w:firstLineChars="300"/>
              <w:rPr>
                <w:rFonts w:ascii="宋体" w:hAnsi="宋体"/>
              </w:rPr>
            </w:pPr>
          </w:p>
          <w:p>
            <w:pPr>
              <w:ind w:left="-315" w:leftChars="-150" w:firstLine="632" w:firstLineChars="300"/>
              <w:rPr>
                <w:rFonts w:hint="eastAsia" w:ascii="宋体" w:hAnsi="宋体"/>
                <w:b/>
              </w:rPr>
            </w:pPr>
            <w:r>
              <w:rPr>
                <w:rFonts w:hint="eastAsia" w:ascii="宋体" w:hAnsi="宋体" w:eastAsia="宋体"/>
                <w:b/>
                <w:lang w:eastAsia="zh-CN"/>
              </w:rPr>
              <w:drawing>
                <wp:anchor distT="0" distB="0" distL="114300" distR="114300" simplePos="0" relativeHeight="251664384" behindDoc="0" locked="0" layoutInCell="1" allowOverlap="1">
                  <wp:simplePos x="0" y="0"/>
                  <wp:positionH relativeFrom="column">
                    <wp:posOffset>2644775</wp:posOffset>
                  </wp:positionH>
                  <wp:positionV relativeFrom="paragraph">
                    <wp:posOffset>167005</wp:posOffset>
                  </wp:positionV>
                  <wp:extent cx="2684780" cy="1894205"/>
                  <wp:effectExtent l="0" t="0" r="7620" b="10795"/>
                  <wp:wrapNone/>
                  <wp:docPr id="32" name="图片 32" descr="第三方产品检验报告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第三方产品检验报告 (3)"/>
                          <pic:cNvPicPr>
                            <a:picLocks noChangeAspect="1"/>
                          </pic:cNvPicPr>
                        </pic:nvPicPr>
                        <pic:blipFill>
                          <a:blip r:embed="rId7"/>
                          <a:stretch>
                            <a:fillRect/>
                          </a:stretch>
                        </pic:blipFill>
                        <pic:spPr>
                          <a:xfrm>
                            <a:off x="0" y="0"/>
                            <a:ext cx="2684780" cy="1894205"/>
                          </a:xfrm>
                          <a:prstGeom prst="rect">
                            <a:avLst/>
                          </a:prstGeom>
                        </pic:spPr>
                      </pic:pic>
                    </a:graphicData>
                  </a:graphic>
                </wp:anchor>
              </w:drawing>
            </w:r>
            <w:r>
              <w:rPr>
                <w:rFonts w:hint="eastAsia" w:ascii="宋体" w:hAnsi="宋体"/>
                <w:b/>
              </w:rPr>
              <w:t>抽查原材料</w:t>
            </w:r>
            <w:r>
              <w:rPr>
                <w:rFonts w:hint="eastAsia" w:ascii="宋体" w:hAnsi="宋体"/>
                <w:b/>
                <w:lang w:val="en-US" w:eastAsia="zh-CN"/>
              </w:rPr>
              <w:t>出厂检验</w:t>
            </w:r>
            <w:r>
              <w:rPr>
                <w:rFonts w:hint="eastAsia" w:ascii="宋体" w:hAnsi="宋体"/>
                <w:b/>
              </w:rPr>
              <w:t>报告</w:t>
            </w:r>
          </w:p>
          <w:p>
            <w:pPr>
              <w:ind w:left="-315" w:leftChars="-150" w:firstLine="632" w:firstLineChars="300"/>
              <w:rPr>
                <w:rFonts w:hint="eastAsia" w:ascii="宋体" w:hAnsi="宋体" w:eastAsia="宋体"/>
                <w:b/>
                <w:lang w:eastAsia="zh-CN"/>
              </w:rPr>
            </w:pPr>
            <w:r>
              <w:rPr>
                <w:rFonts w:hint="eastAsia" w:ascii="宋体" w:hAnsi="宋体" w:eastAsia="宋体"/>
                <w:b/>
                <w:lang w:eastAsia="zh-CN"/>
              </w:rPr>
              <w:drawing>
                <wp:anchor distT="0" distB="0" distL="114300" distR="114300" simplePos="0" relativeHeight="251663360" behindDoc="0" locked="0" layoutInCell="1" allowOverlap="1">
                  <wp:simplePos x="0" y="0"/>
                  <wp:positionH relativeFrom="column">
                    <wp:posOffset>-47625</wp:posOffset>
                  </wp:positionH>
                  <wp:positionV relativeFrom="paragraph">
                    <wp:posOffset>6350</wp:posOffset>
                  </wp:positionV>
                  <wp:extent cx="2627630" cy="1851025"/>
                  <wp:effectExtent l="0" t="0" r="1270" b="3175"/>
                  <wp:wrapNone/>
                  <wp:docPr id="31" name="图片 31" descr="第三方产品检验报告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第三方产品检验报告 (2)"/>
                          <pic:cNvPicPr>
                            <a:picLocks noChangeAspect="1"/>
                          </pic:cNvPicPr>
                        </pic:nvPicPr>
                        <pic:blipFill>
                          <a:blip r:embed="rId8"/>
                          <a:stretch>
                            <a:fillRect/>
                          </a:stretch>
                        </pic:blipFill>
                        <pic:spPr>
                          <a:xfrm>
                            <a:off x="0" y="0"/>
                            <a:ext cx="2627630" cy="1851025"/>
                          </a:xfrm>
                          <a:prstGeom prst="rect">
                            <a:avLst/>
                          </a:prstGeom>
                        </pic:spPr>
                      </pic:pic>
                    </a:graphicData>
                  </a:graphic>
                </wp:anchor>
              </w:drawing>
            </w: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r>
              <w:rPr>
                <w:rFonts w:hint="eastAsia" w:ascii="宋体" w:hAnsi="宋体" w:eastAsia="宋体"/>
                <w:b/>
                <w:lang w:eastAsia="zh-CN"/>
              </w:rPr>
              <w:drawing>
                <wp:inline distT="0" distB="0" distL="114300" distR="114300">
                  <wp:extent cx="1829435" cy="2623185"/>
                  <wp:effectExtent l="0" t="0" r="12065" b="5715"/>
                  <wp:docPr id="33" name="图片 33" descr="第三方产品检验报告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第三方产品检验报告 (4)"/>
                          <pic:cNvPicPr>
                            <a:picLocks noChangeAspect="1"/>
                          </pic:cNvPicPr>
                        </pic:nvPicPr>
                        <pic:blipFill>
                          <a:blip r:embed="rId9"/>
                          <a:stretch>
                            <a:fillRect/>
                          </a:stretch>
                        </pic:blipFill>
                        <pic:spPr>
                          <a:xfrm>
                            <a:off x="0" y="0"/>
                            <a:ext cx="1829435" cy="2623185"/>
                          </a:xfrm>
                          <a:prstGeom prst="rect">
                            <a:avLst/>
                          </a:prstGeom>
                        </pic:spPr>
                      </pic:pic>
                    </a:graphicData>
                  </a:graphic>
                </wp:inline>
              </w:drawing>
            </w:r>
            <w:r>
              <w:rPr>
                <w:rFonts w:hint="eastAsia" w:ascii="宋体" w:hAnsi="宋体" w:eastAsia="宋体"/>
                <w:b/>
                <w:lang w:eastAsia="zh-CN"/>
              </w:rPr>
              <w:drawing>
                <wp:inline distT="0" distB="0" distL="114300" distR="114300">
                  <wp:extent cx="1849120" cy="2623185"/>
                  <wp:effectExtent l="0" t="0" r="5080" b="5715"/>
                  <wp:docPr id="34" name="图片 34" descr="第三方产品检验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第三方产品检验报告"/>
                          <pic:cNvPicPr>
                            <a:picLocks noChangeAspect="1"/>
                          </pic:cNvPicPr>
                        </pic:nvPicPr>
                        <pic:blipFill>
                          <a:blip r:embed="rId10"/>
                          <a:stretch>
                            <a:fillRect/>
                          </a:stretch>
                        </pic:blipFill>
                        <pic:spPr>
                          <a:xfrm>
                            <a:off x="0" y="0"/>
                            <a:ext cx="1849120" cy="2623185"/>
                          </a:xfrm>
                          <a:prstGeom prst="rect">
                            <a:avLst/>
                          </a:prstGeom>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采购进货检验中发现的不合格品，由采购部负责退回供应商，目前，公司的供应商比较稳定，产品质量达到公司的质量要求，未出现采购不合格的情况。</w:t>
            </w:r>
          </w:p>
          <w:p>
            <w:pPr>
              <w:numPr>
                <w:ilvl w:val="0"/>
                <w:numId w:val="1"/>
              </w:num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过程/出厂检验标准：</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生产操作作业规程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洗机操作作业规程</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混凝土搅拌系统配料、称量作业规程（包括配料参数设定、配料秤标定）</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 软件调用、维护</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搅拌主机操作规程（维护、保养）</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外加剂泵操作规程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污水处理系统维护</w:t>
            </w:r>
          </w:p>
          <w:p>
            <w:pPr>
              <w:pStyle w:val="17"/>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预拌混凝土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GB14902</w:t>
            </w:r>
          </w:p>
          <w:p>
            <w:pPr>
              <w:pStyle w:val="17"/>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混凝土质量控制标准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GB50164</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混凝土强度检验评定标准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GB/T 50107</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普通混凝土配合比设计规程JGJ55-2011</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普通混凝土拌和物性能试验方法标准GB/T50080</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普通混凝土力学性能试验方法标准GB/T50081-2002 </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普通混凝土长期性能和耐久性能试验方法标准GB/T50082</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DGQC03建筑用卵石、碎石检验规程</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DG/QC04砼外加剂试验方法</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DGQC05砼外加剂匀质性试验方法</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DGQC06用于水泥和混凝土中的粉煤灰</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DGQC08混凝士配合比设计实验规程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DGOC09混凝土坍落度的测定</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DGQC010混凝土表观密度实验</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DGQC01普通砼力学性能实验</w:t>
            </w:r>
          </w:p>
          <w:p>
            <w:pPr>
              <w:numPr>
                <w:ilvl w:val="3"/>
                <w:numId w:val="0"/>
              </w:numPr>
              <w:spacing w:line="360"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DGOC013普通混凝土长期性能和耐久性实验方法标准等。</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抽混凝土立方体试件挤压强度检验报告，工程名称：湖北路桥集团公司，使用部位：交通管线包制，设计强度等级：C15，检验结果：19.5MPA（抗压强度值）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抽混凝土立方体试件挤压强度检验报告，工程名称：湖北路桥集团公司，使用部位：8#楼刚性屋面，设计强度等级：C20，检验结果：26.8MPA（抗压强度值）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抽混凝土立方体试件挤压强度检验报告，工程名称：湖北路桥集团公司，使用部位：墙体板梁，设计强度等级：C25，检验结果：32.6MPA（抗压强度值）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抽混凝土立方体试件挤压强度检验报告，工程名称：湖北路桥集团公司，使用部位：墙体板梁，设计强度等级：C30，检验结果：37.5MPA（抗压强度值）</w:t>
            </w:r>
          </w:p>
          <w:p>
            <w:pPr>
              <w:numPr>
                <w:ilvl w:val="3"/>
                <w:numId w:val="0"/>
              </w:numPr>
              <w:spacing w:line="360" w:lineRule="auto"/>
              <w:ind w:left="420" w:left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抽混凝土立方体试件挤压强度检验报告，工程名称：润都制药，使用部位：结构梁板梯，设计强度等级：C35，检验结果：42.2MPA（抗压强度值）</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3</w:t>
            </w:r>
            <w:r>
              <w:rPr>
                <w:rFonts w:hint="eastAsia" w:asciiTheme="minorEastAsia" w:hAnsiTheme="minorEastAsia" w:eastAsiaTheme="minorEastAsia" w:cstheme="minorEastAsia"/>
                <w:b/>
                <w:bCs/>
                <w:szCs w:val="21"/>
              </w:rPr>
              <w:t>、查混凝土生产实现关键过程——混凝土配比设计检验</w:t>
            </w: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抽1</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0等，    检验环境温度：20℃    养护方法：标养</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 xml:space="preserve"> 混凝土设计强度等级：C15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anchor distT="0" distB="0" distL="0" distR="0" simplePos="0" relativeHeight="251665408" behindDoc="0" locked="0" layoutInCell="1" allowOverlap="1">
                  <wp:simplePos x="0" y="0"/>
                  <wp:positionH relativeFrom="column">
                    <wp:posOffset>-9525</wp:posOffset>
                  </wp:positionH>
                  <wp:positionV relativeFrom="paragraph">
                    <wp:posOffset>13335</wp:posOffset>
                  </wp:positionV>
                  <wp:extent cx="4966335" cy="1454150"/>
                  <wp:effectExtent l="9525" t="9525" r="15240" b="952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1"/>
                          <a:srcRect/>
                          <a:stretch>
                            <a:fillRect/>
                          </a:stretch>
                        </pic:blipFill>
                        <pic:spPr>
                          <a:xfrm>
                            <a:off x="0" y="0"/>
                            <a:ext cx="4984142" cy="1459514"/>
                          </a:xfrm>
                          <a:prstGeom prst="rect">
                            <a:avLst/>
                          </a:prstGeom>
                          <a:noFill/>
                          <a:ln w="9525">
                            <a:solidFill>
                              <a:schemeClr val="accent1"/>
                            </a:solidFill>
                            <a:miter lim="800000"/>
                            <a:headEnd/>
                            <a:tailEnd/>
                          </a:ln>
                        </pic:spPr>
                      </pic:pic>
                    </a:graphicData>
                  </a:graphic>
                </wp:anchor>
              </w:drawing>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抽2</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0等，    检验环境温度：20℃    养护方法：标养</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混凝土设计强度等级：C20  塌落度：180±20mm </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drawing>
                <wp:anchor distT="0" distB="0" distL="0" distR="0" simplePos="0" relativeHeight="251666432" behindDoc="0" locked="0" layoutInCell="1" allowOverlap="1">
                  <wp:simplePos x="0" y="0"/>
                  <wp:positionH relativeFrom="column">
                    <wp:posOffset>12700</wp:posOffset>
                  </wp:positionH>
                  <wp:positionV relativeFrom="paragraph">
                    <wp:posOffset>43180</wp:posOffset>
                  </wp:positionV>
                  <wp:extent cx="4878705" cy="1450975"/>
                  <wp:effectExtent l="0" t="0" r="10795" b="9525"/>
                  <wp:wrapNone/>
                  <wp:docPr id="16" name="图片 4" descr="C:\Users\a\AppData\Local\Temp\15624085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Users\a\AppData\Local\Temp\1562408569(1).png"/>
                          <pic:cNvPicPr>
                            <a:picLocks noChangeAspect="1" noChangeArrowheads="1"/>
                          </pic:cNvPicPr>
                        </pic:nvPicPr>
                        <pic:blipFill>
                          <a:blip r:embed="rId12"/>
                          <a:srcRect/>
                          <a:stretch>
                            <a:fillRect/>
                          </a:stretch>
                        </pic:blipFill>
                        <pic:spPr>
                          <a:xfrm>
                            <a:off x="0" y="0"/>
                            <a:ext cx="4879973" cy="1451542"/>
                          </a:xfrm>
                          <a:prstGeom prst="rect">
                            <a:avLst/>
                          </a:prstGeom>
                          <a:noFill/>
                          <a:ln w="9525">
                            <a:noFill/>
                            <a:miter lim="800000"/>
                            <a:headEnd/>
                            <a:tailEnd/>
                          </a:ln>
                        </pic:spPr>
                      </pic:pic>
                    </a:graphicData>
                  </a:graphic>
                </wp:anchor>
              </w:drawing>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抽3</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混凝土设计强度等级：C25</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anchor distT="0" distB="0" distL="0" distR="0" simplePos="0" relativeHeight="251667456" behindDoc="0" locked="0" layoutInCell="1" allowOverlap="1">
                  <wp:simplePos x="0" y="0"/>
                  <wp:positionH relativeFrom="column">
                    <wp:posOffset>12700</wp:posOffset>
                  </wp:positionH>
                  <wp:positionV relativeFrom="paragraph">
                    <wp:posOffset>34290</wp:posOffset>
                  </wp:positionV>
                  <wp:extent cx="4145280" cy="1213485"/>
                  <wp:effectExtent l="0" t="0" r="7620" b="5715"/>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noChangeArrowheads="1"/>
                          </pic:cNvPicPr>
                        </pic:nvPicPr>
                        <pic:blipFill>
                          <a:blip r:embed="rId13"/>
                          <a:srcRect/>
                          <a:stretch>
                            <a:fillRect/>
                          </a:stretch>
                        </pic:blipFill>
                        <pic:spPr>
                          <a:xfrm>
                            <a:off x="0" y="0"/>
                            <a:ext cx="4147652" cy="1214562"/>
                          </a:xfrm>
                          <a:prstGeom prst="rect">
                            <a:avLst/>
                          </a:prstGeom>
                          <a:noFill/>
                          <a:ln w="9525">
                            <a:noFill/>
                            <a:miter lim="800000"/>
                            <a:headEnd/>
                            <a:tailEnd/>
                          </a:ln>
                        </pic:spPr>
                      </pic:pic>
                    </a:graphicData>
                  </a:graphic>
                </wp:anchor>
              </w:drawing>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 xml:space="preserve">抽4 </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混凝土设计强度等级：C30  </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每平方混凝土材料用量kg(备注：配合比中的沙、石均为干燥状态的用量)</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      水泥      砂      石       掺料   外加剂   水胶比   砂率   稠度    抗压强度</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173kg   308kg    759kg    1068kg   70kg   7.2kg    0.46     42%    180mm   25.2MPa(7d)/36.3 MPa(28d)</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抽5</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r>
              <w:rPr>
                <w:rFonts w:hint="eastAsia" w:asciiTheme="minorEastAsia" w:hAnsiTheme="minorEastAsia" w:eastAsiaTheme="minorEastAsia" w:cstheme="minorEastAsia"/>
                <w:bCs/>
                <w:szCs w:val="21"/>
              </w:rPr>
              <w:t xml:space="preserve">   </w:t>
            </w:r>
            <w:r>
              <w:rPr>
                <w:rFonts w:hint="eastAsia" w:ascii="宋体" w:hAnsi="宋体"/>
                <w:sz w:val="24"/>
              </w:rPr>
              <w:t xml:space="preserve"> </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混凝土设计强度等级：C35</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drawing>
                <wp:anchor distT="0" distB="0" distL="0" distR="0" simplePos="0" relativeHeight="251668480" behindDoc="0" locked="0" layoutInCell="1" allowOverlap="1">
                  <wp:simplePos x="0" y="0"/>
                  <wp:positionH relativeFrom="column">
                    <wp:posOffset>12700</wp:posOffset>
                  </wp:positionH>
                  <wp:positionV relativeFrom="paragraph">
                    <wp:posOffset>278130</wp:posOffset>
                  </wp:positionV>
                  <wp:extent cx="4460875" cy="1327150"/>
                  <wp:effectExtent l="0" t="0" r="9525" b="6350"/>
                  <wp:wrapNone/>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noChangeArrowheads="1"/>
                          </pic:cNvPicPr>
                        </pic:nvPicPr>
                        <pic:blipFill>
                          <a:blip r:embed="rId14"/>
                          <a:srcRect/>
                          <a:stretch>
                            <a:fillRect/>
                          </a:stretch>
                        </pic:blipFill>
                        <pic:spPr>
                          <a:xfrm>
                            <a:off x="0" y="0"/>
                            <a:ext cx="4465645" cy="1328909"/>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抽6</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r>
              <w:rPr>
                <w:rFonts w:hint="eastAsia" w:asciiTheme="minorEastAsia" w:hAnsiTheme="minorEastAsia" w:eastAsiaTheme="minorEastAsia" w:cstheme="minorEastAsia"/>
                <w:bCs/>
                <w:szCs w:val="21"/>
              </w:rPr>
              <w:t xml:space="preserve">   </w:t>
            </w:r>
            <w:r>
              <w:rPr>
                <w:rFonts w:hint="eastAsia" w:ascii="宋体" w:hAnsi="宋体"/>
                <w:sz w:val="24"/>
              </w:rPr>
              <w:t xml:space="preserve"> </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混凝土设计强度等级：C40</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drawing>
                <wp:inline distT="0" distB="0" distL="0" distR="0">
                  <wp:extent cx="4692015" cy="1368425"/>
                  <wp:effectExtent l="19050" t="19050" r="13233" b="22004"/>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5"/>
                          <a:srcRect/>
                          <a:stretch>
                            <a:fillRect/>
                          </a:stretch>
                        </pic:blipFill>
                        <pic:spPr>
                          <a:xfrm>
                            <a:off x="0" y="0"/>
                            <a:ext cx="4701418" cy="1371359"/>
                          </a:xfrm>
                          <a:prstGeom prst="rect">
                            <a:avLst/>
                          </a:prstGeom>
                          <a:noFill/>
                          <a:ln w="9525">
                            <a:solidFill>
                              <a:schemeClr val="tx1"/>
                            </a:solidFill>
                            <a:miter lim="800000"/>
                            <a:headEnd/>
                            <a:tailEnd/>
                          </a:ln>
                        </pic:spPr>
                      </pic:pic>
                    </a:graphicData>
                  </a:graphic>
                </wp:inline>
              </w:drawing>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抽7</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混凝土设计强度等级：C45</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drawing>
                <wp:inline distT="0" distB="0" distL="0" distR="0">
                  <wp:extent cx="4023360" cy="1216660"/>
                  <wp:effectExtent l="19050" t="0" r="0"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noChangeArrowheads="1"/>
                          </pic:cNvPicPr>
                        </pic:nvPicPr>
                        <pic:blipFill>
                          <a:blip r:embed="rId16"/>
                          <a:srcRect/>
                          <a:stretch>
                            <a:fillRect/>
                          </a:stretch>
                        </pic:blipFill>
                        <pic:spPr>
                          <a:xfrm>
                            <a:off x="0" y="0"/>
                            <a:ext cx="4025289" cy="1217384"/>
                          </a:xfrm>
                          <a:prstGeom prst="rect">
                            <a:avLst/>
                          </a:prstGeom>
                          <a:noFill/>
                          <a:ln w="9525">
                            <a:noFill/>
                            <a:miter lim="800000"/>
                            <a:headEnd/>
                            <a:tailEnd/>
                          </a:ln>
                        </pic:spPr>
                      </pic:pic>
                    </a:graphicData>
                  </a:graphic>
                </wp:inline>
              </w:drawing>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抽8</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r>
              <w:rPr>
                <w:rFonts w:hint="eastAsia" w:asciiTheme="minorEastAsia" w:hAnsiTheme="minorEastAsia" w:eastAsiaTheme="minorEastAsia" w:cstheme="minorEastAsia"/>
                <w:bCs/>
                <w:szCs w:val="21"/>
              </w:rPr>
              <w:t xml:space="preserve">  </w:t>
            </w:r>
            <w:r>
              <w:rPr>
                <w:rFonts w:hint="eastAsia" w:ascii="宋体" w:hAnsi="宋体"/>
                <w:sz w:val="24"/>
              </w:rPr>
              <w:t xml:space="preserve"> </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混凝土设计强度等级：C50</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drawing>
                <wp:inline distT="0" distB="0" distL="0" distR="0">
                  <wp:extent cx="4314190" cy="1290320"/>
                  <wp:effectExtent l="19050" t="0" r="0" b="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noChangeArrowheads="1"/>
                          </pic:cNvPicPr>
                        </pic:nvPicPr>
                        <pic:blipFill>
                          <a:blip r:embed="rId17"/>
                          <a:srcRect/>
                          <a:stretch>
                            <a:fillRect/>
                          </a:stretch>
                        </pic:blipFill>
                        <pic:spPr>
                          <a:xfrm>
                            <a:off x="0" y="0"/>
                            <a:ext cx="4322220" cy="1293045"/>
                          </a:xfrm>
                          <a:prstGeom prst="rect">
                            <a:avLst/>
                          </a:prstGeom>
                          <a:noFill/>
                          <a:ln w="9525">
                            <a:noFill/>
                            <a:miter lim="800000"/>
                            <a:headEnd/>
                            <a:tailEnd/>
                          </a:ln>
                        </pic:spPr>
                      </pic:pic>
                    </a:graphicData>
                  </a:graphic>
                </wp:inline>
              </w:drawing>
            </w:r>
          </w:p>
          <w:p>
            <w:pPr>
              <w:numPr>
                <w:ilvl w:val="3"/>
                <w:numId w:val="0"/>
              </w:numPr>
              <w:spacing w:line="360" w:lineRule="auto"/>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同时还抽查了相对应的混凝土配合比设计检验原始记录，基本符合要求。</w:t>
            </w:r>
          </w:p>
          <w:p>
            <w:pPr>
              <w:spacing w:line="360" w:lineRule="auto"/>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Cs/>
                <w:color w:val="auto"/>
                <w:szCs w:val="21"/>
              </w:rPr>
              <w:t>5、抽查</w:t>
            </w:r>
            <w:r>
              <w:rPr>
                <w:rFonts w:hint="eastAsia" w:asciiTheme="minorEastAsia" w:hAnsiTheme="minorEastAsia" w:eastAsiaTheme="minorEastAsia" w:cstheme="minorEastAsia"/>
                <w:b/>
                <w:bCs/>
                <w:color w:val="auto"/>
                <w:szCs w:val="21"/>
              </w:rPr>
              <w:t>出厂检验记录</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预拌混凝土合格证</w:t>
            </w:r>
            <w:r>
              <w:rPr>
                <w:rFonts w:hint="eastAsia" w:asciiTheme="minorEastAsia" w:hAnsiTheme="minorEastAsia" w:eastAsiaTheme="minorEastAsia" w:cstheme="minorEastAsia"/>
                <w:b/>
                <w:bCs/>
                <w:color w:val="auto"/>
                <w:szCs w:val="21"/>
                <w:lang w:eastAsia="zh-CN"/>
              </w:rPr>
              <w:t>）</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抽1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w:t>
            </w:r>
            <w:r>
              <w:rPr>
                <w:rFonts w:hint="eastAsia" w:ascii="宋体" w:hAnsi="宋体" w:cs="宋体"/>
                <w:szCs w:val="21"/>
                <w:lang w:val="en-US" w:eastAsia="zh-CN"/>
              </w:rPr>
              <w:t>19</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lang w:val="en-US" w:eastAsia="zh-CN"/>
              </w:rPr>
              <w:t>地下室轴垫层</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C15</w:t>
            </w:r>
            <w:r>
              <w:rPr>
                <w:rFonts w:hint="eastAsia" w:asciiTheme="minorEastAsia" w:hAnsiTheme="minorEastAsia" w:eastAsiaTheme="minorEastAsia" w:cstheme="minorEastAsia"/>
                <w:szCs w:val="21"/>
              </w:rPr>
              <w:t xml:space="preserve">                               工程名称：</w:t>
            </w:r>
            <w:r>
              <w:rPr>
                <w:rFonts w:hint="eastAsia" w:asciiTheme="minorEastAsia" w:hAnsiTheme="minorEastAsia" w:eastAsiaTheme="minorEastAsia" w:cstheme="minorEastAsia"/>
                <w:szCs w:val="21"/>
              </w:rPr>
              <w:tab/>
            </w:r>
            <w:r>
              <w:rPr>
                <w:rFonts w:hint="eastAsia"/>
                <w:b w:val="0"/>
                <w:bCs w:val="0"/>
                <w:sz w:val="21"/>
                <w:szCs w:val="21"/>
                <w:lang w:val="en-US" w:eastAsia="zh-CN"/>
              </w:rPr>
              <w:t>马山工业园旧城改造一期B地块项目</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19.8</w:t>
            </w:r>
            <w:r>
              <w:rPr>
                <w:rFonts w:hint="eastAsia" w:asciiTheme="minorEastAsia" w:hAnsiTheme="minorEastAsia" w:eastAsiaTheme="minorEastAsia" w:cstheme="minorEastAsia"/>
                <w:szCs w:val="21"/>
              </w:rPr>
              <w:t xml:space="preserve">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抽2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月2</w:t>
            </w:r>
            <w:r>
              <w:rPr>
                <w:rFonts w:hint="eastAsia" w:ascii="宋体" w:hAnsi="宋体" w:cs="宋体"/>
                <w:szCs w:val="21"/>
                <w:lang w:val="en-US" w:eastAsia="zh-CN"/>
              </w:rPr>
              <w:t>9</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lang w:val="en-US" w:eastAsia="zh-CN"/>
              </w:rPr>
              <w:t>照明基础</w:t>
            </w:r>
            <w:r>
              <w:rPr>
                <w:rFonts w:hint="eastAsia" w:asciiTheme="minorEastAsia" w:hAnsiTheme="minorEastAsia" w:eastAsiaTheme="minorEastAsia" w:cstheme="minorEastAsia"/>
                <w:szCs w:val="21"/>
              </w:rPr>
              <w:t xml:space="preserve">            </w:t>
            </w: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C20</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r>
              <w:rPr>
                <w:rFonts w:hint="eastAsia" w:asciiTheme="minorEastAsia" w:hAnsiTheme="minorEastAsia" w:eastAsiaTheme="minorEastAsia" w:cstheme="minorEastAsia"/>
                <w:szCs w:val="21"/>
              </w:rPr>
              <w:tab/>
            </w:r>
            <w:r>
              <w:rPr>
                <w:rFonts w:hint="eastAsia"/>
                <w:b w:val="0"/>
                <w:bCs w:val="0"/>
                <w:sz w:val="21"/>
                <w:szCs w:val="21"/>
                <w:lang w:val="en-US" w:eastAsia="zh-CN"/>
              </w:rPr>
              <w:t>翰林尚苑安装工程</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26.2</w:t>
            </w:r>
            <w:r>
              <w:rPr>
                <w:rFonts w:hint="eastAsia" w:asciiTheme="minorEastAsia" w:hAnsiTheme="minorEastAsia" w:eastAsiaTheme="minorEastAsia" w:cstheme="minorEastAsia"/>
                <w:szCs w:val="21"/>
              </w:rPr>
              <w:t xml:space="preserve"> 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抽3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w:t>
            </w:r>
            <w:r>
              <w:rPr>
                <w:rFonts w:hint="eastAsia" w:ascii="宋体" w:hAnsi="宋体" w:cs="宋体"/>
                <w:szCs w:val="21"/>
                <w:lang w:val="en-US" w:eastAsia="zh-CN"/>
              </w:rPr>
              <w:t>17</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5#楼22层梁板梯</w:t>
            </w:r>
            <w:r>
              <w:rPr>
                <w:rFonts w:hint="eastAsia" w:asciiTheme="minorEastAsia" w:hAnsiTheme="minorEastAsia" w:eastAsiaTheme="minorEastAsia" w:cstheme="minorEastAsia"/>
                <w:szCs w:val="21"/>
              </w:rPr>
              <w:t xml:space="preserve">           </w:t>
            </w: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C25</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r>
              <w:rPr>
                <w:rFonts w:hint="eastAsia" w:asciiTheme="minorEastAsia" w:hAnsiTheme="minorEastAsia" w:eastAsiaTheme="minorEastAsia" w:cstheme="minorEastAsia"/>
                <w:szCs w:val="21"/>
              </w:rPr>
              <w:tab/>
            </w:r>
            <w:r>
              <w:rPr>
                <w:rFonts w:hint="eastAsia"/>
                <w:b w:val="0"/>
                <w:bCs w:val="0"/>
                <w:sz w:val="21"/>
                <w:szCs w:val="21"/>
                <w:lang w:val="en-US" w:eastAsia="zh-CN"/>
              </w:rPr>
              <w:t>江夏区文化大道道路改造工程项目经理部</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32.4</w:t>
            </w:r>
            <w:r>
              <w:rPr>
                <w:rFonts w:hint="eastAsia" w:asciiTheme="minorEastAsia" w:hAnsiTheme="minorEastAsia" w:eastAsiaTheme="minorEastAsia" w:cstheme="minorEastAsia"/>
                <w:szCs w:val="21"/>
              </w:rPr>
              <w:t xml:space="preserve"> 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抽4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w:t>
            </w:r>
            <w:r>
              <w:rPr>
                <w:rFonts w:hint="eastAsia" w:ascii="宋体" w:hAnsi="宋体" w:cs="宋体"/>
                <w:szCs w:val="21"/>
                <w:lang w:val="en-US" w:eastAsia="zh-CN"/>
              </w:rPr>
              <w:t>11</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27层</w:t>
            </w:r>
            <w:r>
              <w:rPr>
                <w:rFonts w:hint="eastAsia" w:asciiTheme="minorEastAsia" w:hAnsiTheme="minorEastAsia" w:eastAsiaTheme="minorEastAsia" w:cstheme="minorEastAsia"/>
                <w:szCs w:val="21"/>
              </w:rPr>
              <w:t>梁板</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楼梯</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C30</w:t>
            </w:r>
            <w:r>
              <w:rPr>
                <w:rFonts w:hint="eastAsia" w:asciiTheme="minorEastAsia" w:hAnsiTheme="minorEastAsia" w:eastAsiaTheme="minorEastAsia" w:cstheme="minorEastAsia"/>
                <w:szCs w:val="21"/>
              </w:rPr>
              <w:t xml:space="preserve">                            工程名称：</w:t>
            </w:r>
            <w:r>
              <w:rPr>
                <w:rFonts w:hint="eastAsia"/>
                <w:b w:val="0"/>
                <w:bCs w:val="0"/>
                <w:sz w:val="21"/>
                <w:szCs w:val="21"/>
                <w:lang w:val="en-US" w:eastAsia="zh-CN"/>
              </w:rPr>
              <w:t>金口.后山府施工现场</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37.6</w:t>
            </w:r>
            <w:r>
              <w:rPr>
                <w:rFonts w:hint="eastAsia" w:asciiTheme="minorEastAsia" w:hAnsiTheme="minorEastAsia" w:eastAsiaTheme="minorEastAsia" w:cstheme="minorEastAsia"/>
                <w:szCs w:val="21"/>
              </w:rPr>
              <w:t xml:space="preserve">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抽5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lang w:val="en-US" w:eastAsia="zh-CN"/>
              </w:rPr>
              <w:t>13</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#楼</w:t>
            </w:r>
            <w:r>
              <w:rPr>
                <w:rFonts w:hint="eastAsia" w:asciiTheme="minorEastAsia" w:hAnsiTheme="minorEastAsia" w:eastAsiaTheme="minorEastAsia" w:cstheme="minorEastAsia"/>
                <w:szCs w:val="21"/>
                <w:lang w:val="en-US" w:eastAsia="zh-CN"/>
              </w:rPr>
              <w:t>地下室设备基础</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C35</w:t>
            </w:r>
            <w:r>
              <w:rPr>
                <w:rFonts w:hint="eastAsia" w:asciiTheme="minorEastAsia" w:hAnsiTheme="minorEastAsia" w:eastAsiaTheme="minorEastAsia" w:cstheme="minorEastAsia"/>
                <w:szCs w:val="21"/>
              </w:rPr>
              <w:t xml:space="preserve">                            工程名称：</w:t>
            </w:r>
            <w:r>
              <w:rPr>
                <w:rFonts w:hint="eastAsia"/>
                <w:b w:val="0"/>
                <w:bCs w:val="0"/>
                <w:sz w:val="21"/>
                <w:szCs w:val="21"/>
                <w:lang w:val="en-US" w:eastAsia="zh-CN"/>
              </w:rPr>
              <w:t>武汉恒大科技旅游城项目</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43.2</w:t>
            </w:r>
            <w:r>
              <w:rPr>
                <w:rFonts w:hint="eastAsia" w:asciiTheme="minorEastAsia" w:hAnsiTheme="minorEastAsia" w:eastAsiaTheme="minorEastAsia" w:cstheme="minorEastAsia"/>
                <w:szCs w:val="21"/>
              </w:rPr>
              <w:t xml:space="preserve">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抽6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10</w:t>
            </w:r>
            <w:r>
              <w:rPr>
                <w:rFonts w:ascii="宋体" w:hAnsi="宋体" w:cs="宋体"/>
                <w:szCs w:val="21"/>
              </w:rPr>
              <w:t>月</w:t>
            </w:r>
            <w:r>
              <w:rPr>
                <w:rFonts w:hint="eastAsia" w:ascii="宋体" w:hAnsi="宋体" w:cs="宋体"/>
                <w:szCs w:val="21"/>
              </w:rPr>
              <w:t>1</w:t>
            </w:r>
            <w:r>
              <w:rPr>
                <w:rFonts w:hint="eastAsia" w:ascii="宋体" w:hAnsi="宋体" w:cs="宋体"/>
                <w:szCs w:val="21"/>
                <w:lang w:val="en-US" w:eastAsia="zh-CN"/>
              </w:rPr>
              <w:t>2</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桥5#盖梁</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C40</w:t>
            </w:r>
            <w:r>
              <w:rPr>
                <w:rFonts w:hint="eastAsia" w:asciiTheme="minorEastAsia" w:hAnsiTheme="minorEastAsia" w:eastAsiaTheme="minorEastAsia" w:cstheme="minorEastAsia"/>
                <w:szCs w:val="21"/>
              </w:rPr>
              <w:t xml:space="preserve">                            工程名称：</w:t>
            </w:r>
            <w:r>
              <w:rPr>
                <w:rFonts w:hint="eastAsia"/>
                <w:b w:val="0"/>
                <w:bCs w:val="0"/>
                <w:sz w:val="21"/>
                <w:szCs w:val="21"/>
                <w:lang w:val="en-US" w:eastAsia="zh-CN"/>
              </w:rPr>
              <w:t>雅居乐花园项目</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47.9</w:t>
            </w:r>
            <w:r>
              <w:rPr>
                <w:rFonts w:hint="eastAsia" w:asciiTheme="minorEastAsia" w:hAnsiTheme="minorEastAsia" w:eastAsiaTheme="minorEastAsia" w:cstheme="minorEastAsia"/>
                <w:szCs w:val="21"/>
              </w:rPr>
              <w:t xml:space="preserve"> 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w:t>
            </w:r>
            <w:r>
              <w:rPr>
                <w:rFonts w:hint="eastAsia" w:asciiTheme="minorEastAsia" w:hAnsiTheme="minorEastAsia" w:eastAsiaTheme="minorEastAsia" w:cstheme="minorEastAsia"/>
                <w:b/>
                <w:szCs w:val="21"/>
                <w:lang w:val="en-US" w:eastAsia="zh-CN"/>
              </w:rPr>
              <w:t>7</w:t>
            </w:r>
            <w:r>
              <w:rPr>
                <w:rFonts w:hint="eastAsia" w:asciiTheme="minorEastAsia" w:hAnsiTheme="minorEastAsia" w:eastAsiaTheme="minorEastAsia" w:cstheme="minorEastAsia"/>
                <w:b/>
                <w:szCs w:val="21"/>
              </w:rPr>
              <w:t xml:space="preserve">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 xml:space="preserve"> 年</w:t>
            </w:r>
            <w:r>
              <w:rPr>
                <w:rFonts w:hint="eastAsia" w:ascii="宋体" w:hAnsi="宋体" w:cs="宋体"/>
                <w:szCs w:val="21"/>
                <w:lang w:val="en-US" w:eastAsia="zh-CN"/>
              </w:rPr>
              <w:t>10</w:t>
            </w:r>
            <w:r>
              <w:rPr>
                <w:rFonts w:ascii="宋体" w:hAnsi="宋体" w:cs="宋体"/>
                <w:szCs w:val="21"/>
              </w:rPr>
              <w:t>月</w:t>
            </w:r>
            <w:r>
              <w:rPr>
                <w:rFonts w:hint="eastAsia" w:ascii="宋体" w:hAnsi="宋体" w:cs="宋体"/>
                <w:szCs w:val="21"/>
                <w:lang w:val="en-US" w:eastAsia="zh-CN"/>
              </w:rPr>
              <w:t>16</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桥第6-7孔3#板</w:t>
            </w:r>
            <w:r>
              <w:rPr>
                <w:rFonts w:hint="eastAsia" w:asciiTheme="minorEastAsia" w:hAnsiTheme="minorEastAsia" w:eastAsiaTheme="minorEastAsia" w:cstheme="minorEastAsia"/>
                <w:szCs w:val="21"/>
              </w:rPr>
              <w:t xml:space="preserve">           </w:t>
            </w:r>
            <w:bookmarkStart w:id="0" w:name="_GoBack"/>
            <w:bookmarkEnd w:id="0"/>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C50</w:t>
            </w:r>
            <w:r>
              <w:rPr>
                <w:rFonts w:hint="eastAsia" w:asciiTheme="minorEastAsia" w:hAnsiTheme="minorEastAsia" w:eastAsiaTheme="minorEastAsia" w:cstheme="minorEastAsia"/>
                <w:szCs w:val="21"/>
              </w:rPr>
              <w:t xml:space="preserve">                            工程名称：</w:t>
            </w:r>
            <w:r>
              <w:rPr>
                <w:rFonts w:hint="eastAsia"/>
                <w:b w:val="0"/>
                <w:bCs w:val="0"/>
                <w:sz w:val="21"/>
                <w:szCs w:val="21"/>
                <w:lang w:val="en-US" w:eastAsia="zh-CN"/>
              </w:rPr>
              <w:t>江夏区清水入江二期工程一大东港第二通道工程</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59.4</w:t>
            </w:r>
            <w:r>
              <w:rPr>
                <w:rFonts w:hint="eastAsia" w:asciiTheme="minorEastAsia" w:hAnsiTheme="minorEastAsia" w:eastAsiaTheme="minorEastAsia" w:cstheme="minorEastAsia"/>
                <w:szCs w:val="21"/>
              </w:rPr>
              <w:t xml:space="preserve"> MPa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6、第三方检验报告：</w:t>
            </w:r>
          </w:p>
          <w:p>
            <w:pPr>
              <w:jc w:val="left"/>
            </w:pPr>
          </w:p>
          <w:p>
            <w:pPr>
              <w:spacing w:line="360" w:lineRule="auto"/>
              <w:ind w:firstLine="210" w:firstLineChars="1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drawing>
                <wp:inline distT="0" distB="0" distL="114300" distR="114300">
                  <wp:extent cx="1699895" cy="2403475"/>
                  <wp:effectExtent l="0" t="0" r="1905" b="9525"/>
                  <wp:docPr id="35" name="图片 35" descr="C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25 (2)"/>
                          <pic:cNvPicPr>
                            <a:picLocks noChangeAspect="1"/>
                          </pic:cNvPicPr>
                        </pic:nvPicPr>
                        <pic:blipFill>
                          <a:blip r:embed="rId18"/>
                          <a:stretch>
                            <a:fillRect/>
                          </a:stretch>
                        </pic:blipFill>
                        <pic:spPr>
                          <a:xfrm>
                            <a:off x="0" y="0"/>
                            <a:ext cx="1699895" cy="2403475"/>
                          </a:xfrm>
                          <a:prstGeom prst="rect">
                            <a:avLst/>
                          </a:prstGeom>
                        </pic:spPr>
                      </pic:pic>
                    </a:graphicData>
                  </a:graphic>
                </wp:inline>
              </w:drawing>
            </w:r>
            <w:r>
              <w:rPr>
                <w:rFonts w:hint="eastAsia" w:asciiTheme="minorEastAsia" w:hAnsiTheme="minorEastAsia" w:eastAsiaTheme="minorEastAsia" w:cstheme="minorEastAsia"/>
                <w:kern w:val="0"/>
                <w:szCs w:val="21"/>
                <w:lang w:eastAsia="zh-CN"/>
              </w:rPr>
              <w:drawing>
                <wp:inline distT="0" distB="0" distL="114300" distR="114300">
                  <wp:extent cx="1706245" cy="2411730"/>
                  <wp:effectExtent l="0" t="0" r="8255" b="1270"/>
                  <wp:docPr id="36" name="图片 36" descr="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25"/>
                          <pic:cNvPicPr>
                            <a:picLocks noChangeAspect="1"/>
                          </pic:cNvPicPr>
                        </pic:nvPicPr>
                        <pic:blipFill>
                          <a:blip r:embed="rId19"/>
                          <a:stretch>
                            <a:fillRect/>
                          </a:stretch>
                        </pic:blipFill>
                        <pic:spPr>
                          <a:xfrm>
                            <a:off x="0" y="0"/>
                            <a:ext cx="1706245" cy="2411730"/>
                          </a:xfrm>
                          <a:prstGeom prst="rect">
                            <a:avLst/>
                          </a:prstGeom>
                        </pic:spPr>
                      </pic:pic>
                    </a:graphicData>
                  </a:graphic>
                </wp:inline>
              </w:drawing>
            </w:r>
            <w:r>
              <w:rPr>
                <w:rFonts w:hint="eastAsia" w:asciiTheme="minorEastAsia" w:hAnsiTheme="minorEastAsia" w:eastAsiaTheme="minorEastAsia" w:cstheme="minorEastAsia"/>
                <w:kern w:val="0"/>
                <w:szCs w:val="21"/>
                <w:lang w:eastAsia="zh-CN"/>
              </w:rPr>
              <w:drawing>
                <wp:inline distT="0" distB="0" distL="114300" distR="114300">
                  <wp:extent cx="1721485" cy="2433955"/>
                  <wp:effectExtent l="0" t="0" r="5715" b="4445"/>
                  <wp:docPr id="37" name="图片 37" descr="C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30 (2)"/>
                          <pic:cNvPicPr>
                            <a:picLocks noChangeAspect="1"/>
                          </pic:cNvPicPr>
                        </pic:nvPicPr>
                        <pic:blipFill>
                          <a:blip r:embed="rId20"/>
                          <a:stretch>
                            <a:fillRect/>
                          </a:stretch>
                        </pic:blipFill>
                        <pic:spPr>
                          <a:xfrm>
                            <a:off x="0" y="0"/>
                            <a:ext cx="1721485" cy="2433955"/>
                          </a:xfrm>
                          <a:prstGeom prst="rect">
                            <a:avLst/>
                          </a:prstGeom>
                        </pic:spPr>
                      </pic:pic>
                    </a:graphicData>
                  </a:graphic>
                </wp:inline>
              </w:drawing>
            </w:r>
          </w:p>
          <w:p>
            <w:pPr>
              <w:tabs>
                <w:tab w:val="left" w:pos="8439"/>
              </w:tabs>
              <w:spacing w:line="360" w:lineRule="auto"/>
              <w:ind w:firstLine="210" w:firstLineChars="1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drawing>
                <wp:anchor distT="0" distB="0" distL="114300" distR="114300" simplePos="0" relativeHeight="251669504" behindDoc="0" locked="0" layoutInCell="1" allowOverlap="1">
                  <wp:simplePos x="0" y="0"/>
                  <wp:positionH relativeFrom="column">
                    <wp:posOffset>165100</wp:posOffset>
                  </wp:positionH>
                  <wp:positionV relativeFrom="paragraph">
                    <wp:posOffset>99695</wp:posOffset>
                  </wp:positionV>
                  <wp:extent cx="1908810" cy="2699385"/>
                  <wp:effectExtent l="0" t="0" r="8890" b="5715"/>
                  <wp:wrapNone/>
                  <wp:docPr id="38" name="图片 38" descr="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30"/>
                          <pic:cNvPicPr>
                            <a:picLocks noChangeAspect="1"/>
                          </pic:cNvPicPr>
                        </pic:nvPicPr>
                        <pic:blipFill>
                          <a:blip r:embed="rId21"/>
                          <a:stretch>
                            <a:fillRect/>
                          </a:stretch>
                        </pic:blipFill>
                        <pic:spPr>
                          <a:xfrm>
                            <a:off x="0" y="0"/>
                            <a:ext cx="1908810" cy="2699385"/>
                          </a:xfrm>
                          <a:prstGeom prst="rect">
                            <a:avLst/>
                          </a:prstGeom>
                        </pic:spPr>
                      </pic:pic>
                    </a:graphicData>
                  </a:graphic>
                </wp:anchor>
              </w:drawing>
            </w:r>
            <w:r>
              <w:rPr>
                <w:rFonts w:hint="eastAsia" w:asciiTheme="minorEastAsia" w:hAnsiTheme="minorEastAsia" w:eastAsiaTheme="minorEastAsia" w:cstheme="minorEastAsia"/>
                <w:kern w:val="0"/>
                <w:szCs w:val="21"/>
                <w:lang w:eastAsia="zh-CN"/>
              </w:rPr>
              <w:tab/>
            </w: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lang w:eastAsia="zh-CN"/>
              </w:rPr>
            </w:pPr>
          </w:p>
          <w:p>
            <w:pPr>
              <w:tabs>
                <w:tab w:val="left" w:pos="8079"/>
              </w:tabs>
              <w:spacing w:line="360" w:lineRule="auto"/>
              <w:rPr>
                <w:rFonts w:ascii="宋体" w:hAnsi="宋体" w:cs="宋体"/>
                <w:szCs w:val="21"/>
              </w:rPr>
            </w:pPr>
            <w:r>
              <w:rPr>
                <w:rFonts w:hint="eastAsia" w:asciiTheme="minorEastAsia" w:hAnsiTheme="minorEastAsia" w:eastAsiaTheme="minorEastAsia" w:cstheme="minorEastAsia"/>
                <w:kern w:val="0"/>
                <w:szCs w:val="21"/>
              </w:rPr>
              <w:t>产品交付后，</w:t>
            </w:r>
            <w:r>
              <w:rPr>
                <w:rFonts w:hint="eastAsia" w:asciiTheme="minorEastAsia" w:hAnsiTheme="minorEastAsia" w:eastAsiaTheme="minorEastAsia" w:cstheme="minorEastAsia"/>
                <w:kern w:val="0"/>
                <w:szCs w:val="21"/>
                <w:lang w:val="en-US" w:eastAsia="zh-CN"/>
              </w:rPr>
              <w:t>销售</w:t>
            </w:r>
            <w:r>
              <w:rPr>
                <w:rFonts w:hint="eastAsia" w:asciiTheme="minorEastAsia" w:hAnsiTheme="minorEastAsia" w:eastAsiaTheme="minorEastAsia" w:cstheme="minorEastAsia"/>
                <w:kern w:val="0"/>
                <w:szCs w:val="21"/>
              </w:rPr>
              <w:t>部为归口部门，详见销售部检查表。</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51" w:type="dxa"/>
          </w:tcPr>
          <w:p>
            <w:r>
              <w:rPr>
                <w:rFonts w:hint="eastAsia"/>
              </w:rPr>
              <w:t>不合格输出的控制</w:t>
            </w:r>
          </w:p>
        </w:tc>
        <w:tc>
          <w:tcPr>
            <w:tcW w:w="1169" w:type="dxa"/>
          </w:tcPr>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tc>
        <w:tc>
          <w:tcPr>
            <w:tcW w:w="10738" w:type="dxa"/>
          </w:tcPr>
          <w:p>
            <w:pPr>
              <w:spacing w:line="360" w:lineRule="auto"/>
              <w:rPr>
                <w:rFonts w:ascii="宋体" w:hAnsi="宋体" w:cs="宋体"/>
                <w:szCs w:val="21"/>
              </w:rPr>
            </w:pPr>
            <w:r>
              <w:rPr>
                <w:rFonts w:hint="eastAsia" w:ascii="宋体" w:hAnsi="宋体" w:cs="宋体"/>
                <w:szCs w:val="21"/>
              </w:rPr>
              <w:t>1、公司制定有《不合格品控制程序》，以实施对生产全过程不合格品处置的控制。生产过程中未发现不合格，倘若发生，执行《不合格品控制程序》。</w:t>
            </w:r>
          </w:p>
          <w:p>
            <w:pPr>
              <w:spacing w:line="360" w:lineRule="auto"/>
              <w:rPr>
                <w:rFonts w:ascii="宋体" w:hAnsi="宋体" w:cs="宋体"/>
                <w:szCs w:val="21"/>
              </w:rPr>
            </w:pPr>
            <w:r>
              <w:rPr>
                <w:rFonts w:hint="eastAsia" w:ascii="宋体" w:hAnsi="宋体" w:cs="宋体"/>
                <w:szCs w:val="21"/>
              </w:rPr>
              <w:t xml:space="preserve">    采购材料发现不合格时，通知采购人员，对不合格的采购材料进行隔离，一般情况下进行退货处理，未发生过让步使用的情况。</w:t>
            </w:r>
          </w:p>
          <w:p>
            <w:pPr>
              <w:spacing w:line="360" w:lineRule="auto"/>
              <w:rPr>
                <w:rFonts w:ascii="宋体" w:hAnsi="宋体" w:cs="宋体"/>
                <w:szCs w:val="21"/>
              </w:rPr>
            </w:pPr>
            <w:r>
              <w:rPr>
                <w:rFonts w:hint="eastAsia" w:ascii="宋体" w:hAnsi="宋体" w:cs="宋体"/>
                <w:szCs w:val="21"/>
              </w:rPr>
              <w:t>2、 经了解，未发生让步接收的情况。</w:t>
            </w:r>
          </w:p>
          <w:p>
            <w:r>
              <w:rPr>
                <w:rFonts w:hint="eastAsia" w:ascii="宋体" w:hAnsi="宋体" w:cs="宋体"/>
                <w:szCs w:val="21"/>
              </w:rPr>
              <w:t>3、经了解，目前尚未发生交付后或使用后才发现的产品不合格情况</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r>
              <w:rPr>
                <w:rFonts w:hint="eastAsia"/>
              </w:rPr>
              <w:t>监视、测量、分析、评价</w:t>
            </w:r>
          </w:p>
        </w:tc>
        <w:tc>
          <w:tcPr>
            <w:tcW w:w="1169"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ES9.1.1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Q9.1.3</w:t>
            </w:r>
          </w:p>
          <w:p>
            <w:pPr>
              <w:pStyle w:val="7"/>
              <w:spacing w:line="360" w:lineRule="auto"/>
              <w:ind w:firstLine="0" w:firstLineChars="0"/>
              <w:rPr>
                <w:rFonts w:asciiTheme="minorEastAsia" w:hAnsiTheme="minorEastAsia" w:eastAsiaTheme="minorEastAsia" w:cstheme="minorEastAsia"/>
                <w:color w:val="auto"/>
                <w:sz w:val="21"/>
                <w:szCs w:val="21"/>
              </w:rPr>
            </w:pPr>
          </w:p>
          <w:p/>
        </w:tc>
        <w:tc>
          <w:tcPr>
            <w:tcW w:w="10738" w:type="dxa"/>
          </w:tcPr>
          <w:p>
            <w:pPr>
              <w:spacing w:line="360" w:lineRule="auto"/>
              <w:rPr>
                <w:rFonts w:ascii="宋体" w:hAnsi="宋体" w:cs="宋体"/>
                <w:szCs w:val="21"/>
              </w:rPr>
            </w:pPr>
            <w:r>
              <w:rPr>
                <w:rFonts w:hint="eastAsia" w:ascii="宋体" w:hAnsi="宋体" w:cs="宋体"/>
                <w:szCs w:val="21"/>
              </w:rPr>
              <w:t>1、 查到《质量手册》，规定了有关数据分析评价的内容，符合标准要求。</w:t>
            </w:r>
          </w:p>
          <w:p>
            <w:pPr>
              <w:spacing w:line="360" w:lineRule="auto"/>
              <w:rPr>
                <w:rFonts w:ascii="宋体" w:hAnsi="宋体" w:cs="宋体"/>
                <w:szCs w:val="21"/>
              </w:rPr>
            </w:pPr>
            <w:r>
              <w:rPr>
                <w:rFonts w:hint="eastAsia" w:ascii="宋体" w:hAnsi="宋体" w:cs="宋体"/>
                <w:szCs w:val="21"/>
              </w:rPr>
              <w:t xml:space="preserve">    负责人回答：对数据分析评价的方法和内容进行规定。经了解，试验室（质检）常用数据分析方法主要有直方图、因果分析、鱼刺图、排列图、对策表等法。所收集信息包括材料供方、顾客满意率、产品质量等。</w:t>
            </w:r>
          </w:p>
          <w:p>
            <w:pPr>
              <w:spacing w:line="360" w:lineRule="auto"/>
              <w:rPr>
                <w:rFonts w:ascii="宋体" w:hAnsi="宋体" w:cs="宋体"/>
                <w:szCs w:val="21"/>
              </w:rPr>
            </w:pPr>
            <w:r>
              <w:rPr>
                <w:rFonts w:hint="eastAsia" w:ascii="宋体" w:hAnsi="宋体" w:cs="宋体"/>
                <w:szCs w:val="21"/>
              </w:rPr>
              <w:t>2、 查到《分析报告》，对产品的质量情况、顾客满意度情况、体系的绩效和有效性、措施的有效性、外部供方的绩效、改进需求等进行数据总结，采用直方图、因果分析、鱼刺图、排列图、对策表等方法进行分析。</w:t>
            </w:r>
          </w:p>
          <w:p>
            <w:pPr>
              <w:spacing w:line="360" w:lineRule="auto"/>
              <w:rPr>
                <w:rFonts w:ascii="宋体" w:hAnsi="宋体" w:cs="宋体"/>
                <w:szCs w:val="21"/>
              </w:rPr>
            </w:pPr>
            <w:r>
              <w:rPr>
                <w:rFonts w:hint="eastAsia" w:ascii="宋体" w:hAnsi="宋体" w:cs="宋体"/>
                <w:szCs w:val="21"/>
              </w:rPr>
              <w:t xml:space="preserve">    查到目标指标的完成情况，形成了相关的材料证实，并输入到了管理评审中。</w:t>
            </w:r>
          </w:p>
          <w:p>
            <w:pPr>
              <w:spacing w:line="360" w:lineRule="auto"/>
              <w:rPr>
                <w:rFonts w:ascii="宋体" w:hAnsi="宋体" w:cs="宋体"/>
                <w:szCs w:val="21"/>
              </w:rPr>
            </w:pPr>
            <w:r>
              <w:rPr>
                <w:rFonts w:hint="eastAsia" w:ascii="宋体" w:hAnsi="宋体" w:cs="宋体"/>
                <w:szCs w:val="21"/>
              </w:rPr>
              <w:t xml:space="preserve">    以上统计技术的应用和数据分析的实施情况证实，基本符合标准要求，均实施了有效性的评价，通过数据分析，为质量管理体系有关过程的改进提供机会。</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事件调查、不符合、纠正措施和预防措施</w:t>
            </w:r>
          </w:p>
          <w:p>
            <w:pPr>
              <w:tabs>
                <w:tab w:val="left" w:pos="9720"/>
                <w:tab w:val="left" w:pos="9900"/>
              </w:tabs>
              <w:spacing w:beforeLines="20" w:afterLines="20"/>
              <w:rPr>
                <w:rFonts w:asciiTheme="minorEastAsia" w:hAnsiTheme="minorEastAsia" w:eastAsiaTheme="minorEastAsia" w:cstheme="minorEastAsia"/>
                <w:szCs w:val="21"/>
              </w:rPr>
            </w:pPr>
          </w:p>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p>
            <w:pPr>
              <w:spacing w:line="280" w:lineRule="exact"/>
              <w:rPr>
                <w:rFonts w:asciiTheme="minorEastAsia" w:hAnsiTheme="minorEastAsia" w:eastAsiaTheme="minorEastAsia" w:cstheme="minorEastAsia"/>
                <w:szCs w:val="21"/>
              </w:rPr>
            </w:pPr>
          </w:p>
        </w:tc>
        <w:tc>
          <w:tcPr>
            <w:tcW w:w="1169"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QES10.2</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ES10.3</w:t>
            </w:r>
          </w:p>
          <w:p>
            <w:pPr>
              <w:spacing w:line="360" w:lineRule="auto"/>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738"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实</w:t>
            </w:r>
            <w:r>
              <w:rPr>
                <w:rFonts w:hint="eastAsia" w:asciiTheme="minorEastAsia" w:hAnsiTheme="minorEastAsia" w:eastAsiaTheme="minorEastAsia" w:cstheme="minorEastAsia"/>
                <w:szCs w:val="21"/>
              </w:rPr>
              <w:t>验室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试验室管理和员工健康得到重视或关注。公司的试验室通过班前会、安全技术交底活动、工地现场会的形式贯彻实施预防措施，实施的效果比较好。</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查到《不符合纠正措施控制程序》，见程序文件确定的纠正/预防措施的控制的职责和相关的管理要求，覆盖标准要求，体系建立以来未发生更改变化，基本符合。</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环境、安全检查记录》，检查内容包括加工/生活/办公区域卫生情况,是否清理干净;危废收集处理情况;操作工配戴劳动防护用品情况；操作工是否按设备操作规程作业。电工持证上岗情况；生产安全用电情况；用电是否有乱搭线现象;接地保护是否完好；消防设施是否完好;消防通道是否畅通。</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经了解，所有措施没有引发在策划期间确定的风险和机遇的更新，也没有引发质量管理体系的变更，实施情况基本符合标准的要求。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1169"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公司制订《环境因素识别与评价控制程序》和《危险源识别与风险评价控制程序》，生产部根据混凝土生产过程及工作特点对涉及的环境因素、危险源进行了识别和辨识。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查到《环境因素识别评价表》：已识别生产部（包括车队）的环境因素产生过程包括：原材料进场、砂石上料、混凝土搅拌、设备、空压机、混凝土运输、设备维修、办公用车的使用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参加环境因素辨识和评价人员：  编制 </w:t>
            </w:r>
            <w:r>
              <w:rPr>
                <w:rFonts w:hint="eastAsia" w:asciiTheme="minorEastAsia" w:hAnsiTheme="minorEastAsia" w:eastAsiaTheme="minorEastAsia" w:cstheme="minorEastAsia"/>
                <w:bCs/>
                <w:szCs w:val="21"/>
                <w:lang w:val="en-US" w:eastAsia="zh-CN"/>
              </w:rPr>
              <w:t>李涛</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景运清</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 xml:space="preserve">月15日 </w:t>
            </w:r>
          </w:p>
          <w:p>
            <w:pPr>
              <w:spacing w:beforeLines="50" w:line="20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查到《重要环境因素清单》已识别重要环境因素包括：粉尘的排放、噪声的排放，明确的控制措施和责任部门，</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基本合理。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Cs w:val="21"/>
                <w:lang w:val="en-US" w:eastAsia="zh-CN"/>
              </w:rPr>
              <w:t>触电、</w:t>
            </w:r>
            <w:r>
              <w:rPr>
                <w:rFonts w:hint="eastAsia" w:asciiTheme="minorEastAsia" w:hAnsiTheme="minorEastAsia" w:eastAsiaTheme="minorEastAsia" w:cstheme="minorEastAsia"/>
                <w:bCs/>
                <w:szCs w:val="21"/>
              </w:rPr>
              <w:t>机械伤害</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火灾</w:t>
            </w:r>
            <w:r>
              <w:rPr>
                <w:rFonts w:hint="eastAsia" w:asciiTheme="minorEastAsia" w:hAnsiTheme="minorEastAsia" w:eastAsiaTheme="minorEastAsia" w:cstheme="minorEastAsia"/>
                <w:bCs/>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评价人：</w:t>
            </w:r>
            <w:r>
              <w:rPr>
                <w:rFonts w:hint="eastAsia" w:asciiTheme="minorEastAsia" w:hAnsiTheme="minorEastAsia" w:eastAsiaTheme="minorEastAsia" w:cstheme="minorEastAsia"/>
                <w:bCs/>
                <w:szCs w:val="21"/>
                <w:lang w:val="en-US" w:eastAsia="zh-CN"/>
              </w:rPr>
              <w:t>李涛</w:t>
            </w:r>
            <w:r>
              <w:rPr>
                <w:rFonts w:hint="eastAsia" w:asciiTheme="minorEastAsia" w:hAnsiTheme="minorEastAsia" w:eastAsiaTheme="minorEastAsia" w:cstheme="minorEastAsia"/>
                <w:bCs/>
                <w:szCs w:val="21"/>
              </w:rPr>
              <w:t xml:space="preserve"> 审批：</w:t>
            </w:r>
            <w:r>
              <w:rPr>
                <w:rFonts w:hint="eastAsia" w:asciiTheme="minorEastAsia" w:hAnsiTheme="minorEastAsia" w:eastAsiaTheme="minorEastAsia" w:cstheme="minorEastAsia"/>
                <w:bCs/>
                <w:szCs w:val="21"/>
                <w:lang w:val="en-US" w:eastAsia="zh-CN"/>
              </w:rPr>
              <w:t>景运清</w:t>
            </w:r>
            <w:r>
              <w:rPr>
                <w:rFonts w:hint="eastAsia" w:asciiTheme="minorEastAsia" w:hAnsiTheme="minorEastAsia" w:eastAsiaTheme="minorEastAsia" w:cstheme="minorEastAsia"/>
                <w:bCs/>
                <w:szCs w:val="21"/>
              </w:rPr>
              <w:t>，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月15日 。以上危险源识别基本全面、无遗漏，评价基本合理。</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19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1169"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废水控制：</w:t>
            </w:r>
            <w:r>
              <w:rPr>
                <w:rFonts w:hint="eastAsia" w:asciiTheme="minorEastAsia" w:hAnsiTheme="minorEastAsia" w:eastAsiaTheme="minorEastAsia" w:cstheme="minorEastAsia"/>
                <w:bCs/>
                <w:szCs w:val="21"/>
                <w:lang w:val="en-US" w:eastAsia="zh-CN"/>
              </w:rPr>
              <w:t>生产废水为搅拌车、搅拌机等设备清洁废水及砂石分离过程产生的废水，生产废水经沉淀池收集后回用，不外排。生活废水近远期采取不同的处理方式。近期，项目食堂废水经隔油池处理后与生活废水混流，经化粪池和厂区一体化4S-MBR处理工艺处理达到《污水综合排放标准》（GB8978-1996）表4一级标准要求后用于厂区绿化；远期，项目食堂废水经隔油池处理后与生活废水混流，经化粪池处理达到《污水综合排放标准》（GB8978-1996）表4三级标准后经规范化排污口排入市政管网，进入杨树港污水处理厂处理，尾水进入杨树港。</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噪声控制：</w:t>
            </w:r>
            <w:r>
              <w:rPr>
                <w:rFonts w:hint="eastAsia" w:asciiTheme="minorEastAsia" w:hAnsiTheme="minorEastAsia" w:eastAsiaTheme="minorEastAsia" w:cstheme="minorEastAsia"/>
                <w:bCs/>
                <w:szCs w:val="21"/>
                <w:lang w:val="en-US" w:eastAsia="zh-CN"/>
              </w:rPr>
              <w:t>企业采取优化厂区平面布置，合理布置高噪声设备，对高噪声设备采取隔声、消声、减振及置于相对封闭的厂房内等措施，并对厂区进行绿化等措施降低噪声对周围环境的影响。</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废气控制：公司的生产设有属于密闭设备，自动化程度高，原料为颗粒状，在生产过程中不产生粉尘及废气，生产中的废气及粉尘为清扫地面产生的灰尘，公司采取降尘洒水，通风的办法。见附件环境监测报告</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4）固废控制：</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除尘器及车间收集的粉尘作为原料回用于生产；砂石泥浆及沉淀池污泥堆放于厂区堆场，作为厂区地面基础设施材料综合利用，后期经干化后运至垃圾填埋场填埋，生活垃圾集中收集后由环卫部门定期清运。</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9）触电：电箱均有防触电标识，人员经过培训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公司制定了安全生产责任属，制定了安全目标考核制定.</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提供员工体检清单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p>
            <w:pPr>
              <w:rPr>
                <w:rFonts w:asciiTheme="minorEastAsia" w:hAnsiTheme="minorEastAsia" w:eastAsiaTheme="minorEastAsia" w:cstheme="minorEastAsia"/>
                <w:szCs w:val="21"/>
              </w:rPr>
            </w:pP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1169"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负责人介绍，公司制定《应急准备和响应控制程序》、《应急救援预案》等，包括：火灾、爆炸应急预案、生产车间中毒、梅雨、雷电等恶劣天气应急预案、高空坠落应急预案等</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见：《高空坠落预案演练记录》</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时间 ：20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10</w:t>
            </w:r>
            <w:r>
              <w:rPr>
                <w:rFonts w:hint="eastAsia" w:asciiTheme="minorEastAsia" w:hAnsiTheme="minorEastAsia" w:eastAsiaTheme="minorEastAsia" w:cstheme="minorEastAsia"/>
                <w:bCs/>
                <w:szCs w:val="21"/>
              </w:rPr>
              <w:t>月20日</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地点：</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号仓</w:t>
            </w:r>
          </w:p>
          <w:p>
            <w:pPr>
              <w:ind w:firstLine="480" w:firstLineChars="200"/>
              <w:rPr>
                <w:rFonts w:hint="default" w:asciiTheme="minorEastAsia" w:hAnsiTheme="minorEastAsia" w:eastAsiaTheme="minorEastAsia" w:cstheme="minorEastAsia"/>
                <w:bCs/>
                <w:szCs w:val="21"/>
                <w:lang w:val="en-US" w:eastAsia="zh-CN"/>
              </w:rPr>
            </w:pPr>
            <w:r>
              <w:rPr>
                <w:rFonts w:hint="eastAsia"/>
                <w:sz w:val="24"/>
                <w:szCs w:val="24"/>
              </w:rPr>
              <w:t>演练</w:t>
            </w:r>
            <w:r>
              <w:rPr>
                <w:rFonts w:hint="eastAsia" w:asciiTheme="minorEastAsia" w:hAnsiTheme="minorEastAsia" w:eastAsiaTheme="minorEastAsia" w:cstheme="minorEastAsia"/>
                <w:bCs/>
                <w:szCs w:val="21"/>
              </w:rPr>
              <w:t>部门：生产部</w:t>
            </w:r>
            <w:r>
              <w:rPr>
                <w:rFonts w:hint="eastAsia" w:asciiTheme="minorEastAsia" w:hAnsiTheme="minorEastAsia" w:eastAsiaTheme="minorEastAsia" w:cstheme="minorEastAsia"/>
                <w:bCs/>
                <w:szCs w:val="21"/>
                <w:lang w:val="en-US" w:eastAsia="zh-CN"/>
              </w:rPr>
              <w:t>及公司各部门</w:t>
            </w:r>
          </w:p>
          <w:p>
            <w:pPr>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张咸</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参加人员</w:t>
            </w:r>
            <w:r>
              <w:rPr>
                <w:rFonts w:hint="eastAsia" w:asciiTheme="minorEastAsia" w:hAnsiTheme="minorEastAsia" w:eastAsiaTheme="minorEastAsia" w:cstheme="minorEastAsia"/>
                <w:bCs/>
                <w:szCs w:val="21"/>
                <w:lang w:val="en-US" w:eastAsia="zh-CN"/>
              </w:rPr>
              <w:t>生产部和各部门相关人员</w:t>
            </w:r>
            <w:r>
              <w:rPr>
                <w:rFonts w:hint="eastAsia" w:asciiTheme="minorEastAsia" w:hAnsiTheme="minorEastAsia" w:eastAsiaTheme="minorEastAsia" w:cstheme="minorEastAsia"/>
                <w:bCs/>
                <w:szCs w:val="21"/>
              </w:rPr>
              <w:t>等。过程记录详细。</w:t>
            </w:r>
          </w:p>
          <w:p>
            <w:pPr>
              <w:pStyle w:val="17"/>
              <w:ind w:firstLine="46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月20日组织了</w:t>
            </w:r>
            <w:r>
              <w:rPr>
                <w:rFonts w:hint="eastAsia" w:asciiTheme="minorEastAsia" w:hAnsiTheme="minorEastAsia" w:eastAsiaTheme="minorEastAsia" w:cstheme="minorEastAsia"/>
                <w:bCs w:val="0"/>
                <w:szCs w:val="21"/>
              </w:rPr>
              <w:t>高空坠落</w:t>
            </w:r>
            <w:r>
              <w:rPr>
                <w:rFonts w:hint="eastAsia" w:asciiTheme="minorEastAsia" w:hAnsiTheme="minorEastAsia" w:eastAsiaTheme="minorEastAsia" w:cstheme="minorEastAsia"/>
                <w:szCs w:val="21"/>
              </w:rPr>
              <w:t>预案演练，演练中不但讲解了高空坠落发生后的处理流程，包括汇报机制，通知医院，疏导交通保证救援通道畅通，实施抢救等，并在演练结束后进行了总结，应急预案有可操作性，应急人员基本掌握该方案，能够应对突发事件。</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基本符合。</w:t>
            </w:r>
          </w:p>
        </w:tc>
        <w:tc>
          <w:tcPr>
            <w:tcW w:w="851" w:type="dxa"/>
          </w:tc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B5DAC"/>
    <w:multiLevelType w:val="singleLevel"/>
    <w:tmpl w:val="E71B5DAC"/>
    <w:lvl w:ilvl="0" w:tentative="0">
      <w:start w:val="1"/>
      <w:numFmt w:val="decimal"/>
      <w:suff w:val="space"/>
      <w:lvlText w:val="%1."/>
      <w:lvlJc w:val="left"/>
    </w:lvl>
  </w:abstractNum>
  <w:abstractNum w:abstractNumId="1">
    <w:nsid w:val="62A507B7"/>
    <w:multiLevelType w:val="singleLevel"/>
    <w:tmpl w:val="62A507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812"/>
    <w:rsid w:val="00021A1B"/>
    <w:rsid w:val="000237F6"/>
    <w:rsid w:val="0003373A"/>
    <w:rsid w:val="00034A9D"/>
    <w:rsid w:val="000400E2"/>
    <w:rsid w:val="000429C6"/>
    <w:rsid w:val="00054815"/>
    <w:rsid w:val="000552D4"/>
    <w:rsid w:val="0005552D"/>
    <w:rsid w:val="00062E46"/>
    <w:rsid w:val="00067168"/>
    <w:rsid w:val="00083A24"/>
    <w:rsid w:val="00090363"/>
    <w:rsid w:val="000915E2"/>
    <w:rsid w:val="000974F5"/>
    <w:rsid w:val="000A627F"/>
    <w:rsid w:val="000F142D"/>
    <w:rsid w:val="000F2D62"/>
    <w:rsid w:val="000F3159"/>
    <w:rsid w:val="0013031B"/>
    <w:rsid w:val="00147311"/>
    <w:rsid w:val="00171DD5"/>
    <w:rsid w:val="00176434"/>
    <w:rsid w:val="00180899"/>
    <w:rsid w:val="00181427"/>
    <w:rsid w:val="00186C0E"/>
    <w:rsid w:val="001A2D7F"/>
    <w:rsid w:val="001C6C32"/>
    <w:rsid w:val="001D13CA"/>
    <w:rsid w:val="001D6651"/>
    <w:rsid w:val="001D6E47"/>
    <w:rsid w:val="001D7441"/>
    <w:rsid w:val="001E00F4"/>
    <w:rsid w:val="001E405B"/>
    <w:rsid w:val="002004CC"/>
    <w:rsid w:val="0021428D"/>
    <w:rsid w:val="00214360"/>
    <w:rsid w:val="00216E03"/>
    <w:rsid w:val="00221B40"/>
    <w:rsid w:val="00224777"/>
    <w:rsid w:val="00253BC0"/>
    <w:rsid w:val="002544BA"/>
    <w:rsid w:val="00275D6D"/>
    <w:rsid w:val="0027658D"/>
    <w:rsid w:val="002939AD"/>
    <w:rsid w:val="002A1447"/>
    <w:rsid w:val="002C3FD2"/>
    <w:rsid w:val="002F191A"/>
    <w:rsid w:val="00307B23"/>
    <w:rsid w:val="0031275F"/>
    <w:rsid w:val="003227F7"/>
    <w:rsid w:val="00333BD4"/>
    <w:rsid w:val="00337922"/>
    <w:rsid w:val="00340867"/>
    <w:rsid w:val="00352074"/>
    <w:rsid w:val="00370B31"/>
    <w:rsid w:val="00380837"/>
    <w:rsid w:val="00395EAE"/>
    <w:rsid w:val="003A198A"/>
    <w:rsid w:val="003C5185"/>
    <w:rsid w:val="003C522A"/>
    <w:rsid w:val="003D6EBD"/>
    <w:rsid w:val="003F2DCC"/>
    <w:rsid w:val="003F4C9B"/>
    <w:rsid w:val="003F77BC"/>
    <w:rsid w:val="004034D5"/>
    <w:rsid w:val="00406598"/>
    <w:rsid w:val="00410914"/>
    <w:rsid w:val="004154A6"/>
    <w:rsid w:val="004163AC"/>
    <w:rsid w:val="004200FD"/>
    <w:rsid w:val="00425E1C"/>
    <w:rsid w:val="00426823"/>
    <w:rsid w:val="00433001"/>
    <w:rsid w:val="00455FDD"/>
    <w:rsid w:val="00470E83"/>
    <w:rsid w:val="00475DB2"/>
    <w:rsid w:val="00495989"/>
    <w:rsid w:val="004C2454"/>
    <w:rsid w:val="004D0038"/>
    <w:rsid w:val="004D261F"/>
    <w:rsid w:val="004E0A34"/>
    <w:rsid w:val="004E5B89"/>
    <w:rsid w:val="004F1BD1"/>
    <w:rsid w:val="004F6236"/>
    <w:rsid w:val="00506CCF"/>
    <w:rsid w:val="00520A70"/>
    <w:rsid w:val="00536930"/>
    <w:rsid w:val="00550935"/>
    <w:rsid w:val="0055140B"/>
    <w:rsid w:val="00553EFF"/>
    <w:rsid w:val="00562A63"/>
    <w:rsid w:val="0056496F"/>
    <w:rsid w:val="00564E53"/>
    <w:rsid w:val="00565DA1"/>
    <w:rsid w:val="005677B9"/>
    <w:rsid w:val="005820BE"/>
    <w:rsid w:val="005845D5"/>
    <w:rsid w:val="00586ED8"/>
    <w:rsid w:val="005A097A"/>
    <w:rsid w:val="005A45E2"/>
    <w:rsid w:val="005A60C4"/>
    <w:rsid w:val="005B014D"/>
    <w:rsid w:val="005B2149"/>
    <w:rsid w:val="005B5123"/>
    <w:rsid w:val="005C03EB"/>
    <w:rsid w:val="005C0B82"/>
    <w:rsid w:val="005D2EE9"/>
    <w:rsid w:val="005D481B"/>
    <w:rsid w:val="005D5659"/>
    <w:rsid w:val="005D7EFA"/>
    <w:rsid w:val="00600C20"/>
    <w:rsid w:val="0061126D"/>
    <w:rsid w:val="00611B7D"/>
    <w:rsid w:val="006162A4"/>
    <w:rsid w:val="00644FE2"/>
    <w:rsid w:val="006466BA"/>
    <w:rsid w:val="00654BA1"/>
    <w:rsid w:val="0065529F"/>
    <w:rsid w:val="006576C9"/>
    <w:rsid w:val="00675C37"/>
    <w:rsid w:val="0067640C"/>
    <w:rsid w:val="0068466F"/>
    <w:rsid w:val="006B077E"/>
    <w:rsid w:val="006B17FE"/>
    <w:rsid w:val="006D1A9A"/>
    <w:rsid w:val="006E2B5A"/>
    <w:rsid w:val="006E2FFA"/>
    <w:rsid w:val="006E678B"/>
    <w:rsid w:val="006E6E19"/>
    <w:rsid w:val="006F4DDE"/>
    <w:rsid w:val="00701BAE"/>
    <w:rsid w:val="00701FA8"/>
    <w:rsid w:val="0071778F"/>
    <w:rsid w:val="007275F4"/>
    <w:rsid w:val="00733A13"/>
    <w:rsid w:val="00734DE7"/>
    <w:rsid w:val="00740C41"/>
    <w:rsid w:val="007475E7"/>
    <w:rsid w:val="007508AF"/>
    <w:rsid w:val="00750AE5"/>
    <w:rsid w:val="00763FE8"/>
    <w:rsid w:val="007757F3"/>
    <w:rsid w:val="0078276C"/>
    <w:rsid w:val="0078322A"/>
    <w:rsid w:val="00783C08"/>
    <w:rsid w:val="007945FF"/>
    <w:rsid w:val="007A1EC4"/>
    <w:rsid w:val="007B6C8D"/>
    <w:rsid w:val="007C6D74"/>
    <w:rsid w:val="007D6C08"/>
    <w:rsid w:val="007E1BCB"/>
    <w:rsid w:val="007E6AEB"/>
    <w:rsid w:val="007F070E"/>
    <w:rsid w:val="00806BC0"/>
    <w:rsid w:val="00813EC2"/>
    <w:rsid w:val="00817486"/>
    <w:rsid w:val="00831F9E"/>
    <w:rsid w:val="00843A5F"/>
    <w:rsid w:val="00851D32"/>
    <w:rsid w:val="00857127"/>
    <w:rsid w:val="00863081"/>
    <w:rsid w:val="00866BFF"/>
    <w:rsid w:val="00873DA2"/>
    <w:rsid w:val="00893BDD"/>
    <w:rsid w:val="008973EE"/>
    <w:rsid w:val="008B2EB3"/>
    <w:rsid w:val="008B3B24"/>
    <w:rsid w:val="008B7F7B"/>
    <w:rsid w:val="008B7FC7"/>
    <w:rsid w:val="008E2BD6"/>
    <w:rsid w:val="008F4ACF"/>
    <w:rsid w:val="00910887"/>
    <w:rsid w:val="0091717A"/>
    <w:rsid w:val="00937D49"/>
    <w:rsid w:val="009405C8"/>
    <w:rsid w:val="009471B9"/>
    <w:rsid w:val="00953F1A"/>
    <w:rsid w:val="00956744"/>
    <w:rsid w:val="009649C3"/>
    <w:rsid w:val="00967A17"/>
    <w:rsid w:val="00971600"/>
    <w:rsid w:val="009973B4"/>
    <w:rsid w:val="009B5B36"/>
    <w:rsid w:val="009C28C1"/>
    <w:rsid w:val="009C4F9A"/>
    <w:rsid w:val="009E49E1"/>
    <w:rsid w:val="009F1CA7"/>
    <w:rsid w:val="009F5225"/>
    <w:rsid w:val="009F7EED"/>
    <w:rsid w:val="00A01C2A"/>
    <w:rsid w:val="00A13E21"/>
    <w:rsid w:val="00A150A2"/>
    <w:rsid w:val="00A20A3B"/>
    <w:rsid w:val="00A212CA"/>
    <w:rsid w:val="00A23CEC"/>
    <w:rsid w:val="00A3230F"/>
    <w:rsid w:val="00A3431C"/>
    <w:rsid w:val="00A4217E"/>
    <w:rsid w:val="00A43595"/>
    <w:rsid w:val="00A63112"/>
    <w:rsid w:val="00A63E7B"/>
    <w:rsid w:val="00A714C7"/>
    <w:rsid w:val="00A72210"/>
    <w:rsid w:val="00A80636"/>
    <w:rsid w:val="00A94B7B"/>
    <w:rsid w:val="00A94F96"/>
    <w:rsid w:val="00AB2B0B"/>
    <w:rsid w:val="00AB2CBC"/>
    <w:rsid w:val="00AB6468"/>
    <w:rsid w:val="00AC13C0"/>
    <w:rsid w:val="00AC43D6"/>
    <w:rsid w:val="00AD3722"/>
    <w:rsid w:val="00AD393C"/>
    <w:rsid w:val="00AD5FF0"/>
    <w:rsid w:val="00AE6463"/>
    <w:rsid w:val="00AF0AAB"/>
    <w:rsid w:val="00B07141"/>
    <w:rsid w:val="00B07C9C"/>
    <w:rsid w:val="00B1551E"/>
    <w:rsid w:val="00B25F53"/>
    <w:rsid w:val="00B449BC"/>
    <w:rsid w:val="00B5202E"/>
    <w:rsid w:val="00B63ACD"/>
    <w:rsid w:val="00B671CA"/>
    <w:rsid w:val="00B73689"/>
    <w:rsid w:val="00B82832"/>
    <w:rsid w:val="00B8760C"/>
    <w:rsid w:val="00BA329F"/>
    <w:rsid w:val="00BB0202"/>
    <w:rsid w:val="00BB629C"/>
    <w:rsid w:val="00BC2249"/>
    <w:rsid w:val="00BC57A9"/>
    <w:rsid w:val="00BD1471"/>
    <w:rsid w:val="00BE5E52"/>
    <w:rsid w:val="00BF3A33"/>
    <w:rsid w:val="00BF597E"/>
    <w:rsid w:val="00C1544A"/>
    <w:rsid w:val="00C33B32"/>
    <w:rsid w:val="00C345BE"/>
    <w:rsid w:val="00C51A36"/>
    <w:rsid w:val="00C55228"/>
    <w:rsid w:val="00C615C3"/>
    <w:rsid w:val="00C66B3A"/>
    <w:rsid w:val="00C96F95"/>
    <w:rsid w:val="00CB5821"/>
    <w:rsid w:val="00CC7FAB"/>
    <w:rsid w:val="00CD0716"/>
    <w:rsid w:val="00CE315A"/>
    <w:rsid w:val="00CF0C97"/>
    <w:rsid w:val="00CF7EF5"/>
    <w:rsid w:val="00D0297B"/>
    <w:rsid w:val="00D06F59"/>
    <w:rsid w:val="00D11694"/>
    <w:rsid w:val="00D14026"/>
    <w:rsid w:val="00D21211"/>
    <w:rsid w:val="00D2373B"/>
    <w:rsid w:val="00D36585"/>
    <w:rsid w:val="00D503EB"/>
    <w:rsid w:val="00D55B28"/>
    <w:rsid w:val="00D55F80"/>
    <w:rsid w:val="00D8388C"/>
    <w:rsid w:val="00D911B2"/>
    <w:rsid w:val="00D91D23"/>
    <w:rsid w:val="00DC15A8"/>
    <w:rsid w:val="00DC238C"/>
    <w:rsid w:val="00DD5752"/>
    <w:rsid w:val="00E064DC"/>
    <w:rsid w:val="00E11608"/>
    <w:rsid w:val="00E33A68"/>
    <w:rsid w:val="00E404DF"/>
    <w:rsid w:val="00E429AE"/>
    <w:rsid w:val="00E53827"/>
    <w:rsid w:val="00E56E3C"/>
    <w:rsid w:val="00E6224C"/>
    <w:rsid w:val="00E62E27"/>
    <w:rsid w:val="00E82E75"/>
    <w:rsid w:val="00E869ED"/>
    <w:rsid w:val="00E86F2D"/>
    <w:rsid w:val="00E90FE1"/>
    <w:rsid w:val="00E95183"/>
    <w:rsid w:val="00EA40AA"/>
    <w:rsid w:val="00EB0164"/>
    <w:rsid w:val="00EC36F8"/>
    <w:rsid w:val="00EC52CB"/>
    <w:rsid w:val="00ED0F62"/>
    <w:rsid w:val="00EE4C4A"/>
    <w:rsid w:val="00EF61D4"/>
    <w:rsid w:val="00F13271"/>
    <w:rsid w:val="00F1666B"/>
    <w:rsid w:val="00F167FA"/>
    <w:rsid w:val="00F227C1"/>
    <w:rsid w:val="00F44B02"/>
    <w:rsid w:val="00F468D5"/>
    <w:rsid w:val="00F768C5"/>
    <w:rsid w:val="00F76D58"/>
    <w:rsid w:val="00F85FCA"/>
    <w:rsid w:val="00FA02FE"/>
    <w:rsid w:val="00FB2844"/>
    <w:rsid w:val="00FC0238"/>
    <w:rsid w:val="00FC53A7"/>
    <w:rsid w:val="00FC5A74"/>
    <w:rsid w:val="00FC631C"/>
    <w:rsid w:val="00FE3FB2"/>
    <w:rsid w:val="00FE4E16"/>
    <w:rsid w:val="062909FA"/>
    <w:rsid w:val="108219C2"/>
    <w:rsid w:val="13823E83"/>
    <w:rsid w:val="1622124C"/>
    <w:rsid w:val="1941603C"/>
    <w:rsid w:val="1D2F7E3D"/>
    <w:rsid w:val="2EB31F87"/>
    <w:rsid w:val="4F1607CC"/>
    <w:rsid w:val="5EA12B9A"/>
    <w:rsid w:val="67922C6A"/>
    <w:rsid w:val="6E994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Plain Text"/>
    <w:basedOn w:val="1"/>
    <w:link w:val="18"/>
    <w:unhideWhenUsed/>
    <w:qFormat/>
    <w:uiPriority w:val="0"/>
    <w:rPr>
      <w:rFonts w:ascii="宋体" w:hAnsi="Courier New"/>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link w:val="16"/>
    <w:qFormat/>
    <w:uiPriority w:val="0"/>
    <w:pPr>
      <w:spacing w:after="0"/>
      <w:ind w:left="0" w:leftChars="0" w:firstLine="420" w:firstLineChars="200"/>
      <w:jc w:val="left"/>
    </w:pPr>
    <w:rPr>
      <w:rFonts w:ascii="宋体" w:hAnsi="宋体" w:eastAsia="仿宋_GB2312"/>
      <w:color w:val="000000"/>
      <w:sz w:val="28"/>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缩进 Char"/>
    <w:basedOn w:val="9"/>
    <w:link w:val="2"/>
    <w:semiHidden/>
    <w:qFormat/>
    <w:uiPriority w:val="99"/>
    <w:rPr>
      <w:rFonts w:ascii="Times New Roman" w:hAnsi="Times New Roman" w:eastAsia="宋体" w:cs="Times New Roman"/>
      <w:kern w:val="2"/>
      <w:sz w:val="21"/>
    </w:rPr>
  </w:style>
  <w:style w:type="character" w:customStyle="1" w:styleId="16">
    <w:name w:val="正文首行缩进 2 Char"/>
    <w:basedOn w:val="15"/>
    <w:link w:val="7"/>
    <w:qFormat/>
    <w:uiPriority w:val="0"/>
    <w:rPr>
      <w:rFonts w:ascii="宋体" w:hAnsi="宋体" w:eastAsia="仿宋_GB2312"/>
      <w:color w:val="000000"/>
      <w:sz w:val="28"/>
    </w:rPr>
  </w:style>
  <w:style w:type="paragraph" w:customStyle="1" w:styleId="17">
    <w:name w:val="表格文字"/>
    <w:basedOn w:val="1"/>
    <w:qFormat/>
    <w:uiPriority w:val="0"/>
    <w:pPr>
      <w:spacing w:before="25" w:after="25"/>
    </w:pPr>
    <w:rPr>
      <w:bCs/>
      <w:spacing w:val="10"/>
    </w:rPr>
  </w:style>
  <w:style w:type="character" w:customStyle="1" w:styleId="18">
    <w:name w:val="纯文本 Char"/>
    <w:basedOn w:val="9"/>
    <w:link w:val="3"/>
    <w:qFormat/>
    <w:uiPriority w:val="0"/>
    <w:rPr>
      <w:rFonts w:ascii="宋体" w:hAnsi="Courier New" w:eastAsia="宋体" w:cs="Times New Roman"/>
      <w:kern w:val="2"/>
      <w:sz w:val="21"/>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2260</Words>
  <Characters>12886</Characters>
  <Lines>107</Lines>
  <Paragraphs>30</Paragraphs>
  <TotalTime>0</TotalTime>
  <ScaleCrop>false</ScaleCrop>
  <LinksUpToDate>false</LinksUpToDate>
  <CharactersWithSpaces>15116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2021-02-09T01:38:04Z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