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5"/>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1"/>
                <w:szCs w:val="21"/>
                <w:lang w:val="en-US" w:eastAsia="zh-CN"/>
              </w:rPr>
            </w:pPr>
            <w:r>
              <w:rPr>
                <w:rFonts w:ascii="Times New Roman" w:hAnsi="Times New Roman" w:cs="Times New Roman"/>
                <w:szCs w:val="22"/>
                <w:highlight w:val="none"/>
              </w:rPr>
              <w:t>受审核部门：</w:t>
            </w:r>
            <w:r>
              <w:rPr>
                <w:rFonts w:hint="eastAsia" w:cs="Times New Roman"/>
                <w:szCs w:val="22"/>
                <w:highlight w:val="none"/>
                <w:lang w:val="en-US" w:eastAsia="zh-CN"/>
              </w:rPr>
              <w:t>技术部</w:t>
            </w:r>
            <w:r>
              <w:rPr>
                <w:rFonts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主管领导：</w:t>
            </w:r>
            <w:r>
              <w:rPr>
                <w:rFonts w:hint="eastAsia" w:cs="Times New Roman"/>
                <w:szCs w:val="22"/>
                <w:highlight w:val="none"/>
                <w:lang w:eastAsia="zh-CN"/>
              </w:rPr>
              <w:t>张学锋</w:t>
            </w:r>
            <w:r>
              <w:rPr>
                <w:rFonts w:ascii="Times New Roman" w:hAnsi="Times New Roman" w:cs="Times New Roman"/>
                <w:szCs w:val="22"/>
                <w:highlight w:val="none"/>
              </w:rPr>
              <w:t xml:space="preserve">  </w:t>
            </w:r>
            <w:r>
              <w:rPr>
                <w:rFonts w:hint="eastAsia" w:ascii="Times New Roman" w:hAnsi="Times New Roman" w:cs="Times New Roman"/>
                <w:szCs w:val="22"/>
                <w:highlight w:val="none"/>
              </w:rPr>
              <w:t xml:space="preserve"> </w:t>
            </w:r>
            <w:r>
              <w:rPr>
                <w:rFonts w:hint="eastAsia" w:ascii="Times New Roman" w:hAnsi="Times New Roman" w:cs="Times New Roman"/>
                <w:szCs w:val="22"/>
                <w:highlight w:val="none"/>
                <w:lang w:val="en-US" w:eastAsia="zh-CN"/>
              </w:rPr>
              <w:t xml:space="preserve">   </w:t>
            </w:r>
            <w:r>
              <w:rPr>
                <w:rFonts w:ascii="Times New Roman" w:hAnsi="Times New Roman" w:cs="Times New Roman"/>
                <w:szCs w:val="22"/>
                <w:highlight w:val="none"/>
              </w:rPr>
              <w:t xml:space="preserve"> 陪同人员：</w:t>
            </w:r>
            <w:r>
              <w:rPr>
                <w:rFonts w:hint="eastAsia" w:cs="Times New Roman"/>
                <w:szCs w:val="22"/>
                <w:highlight w:val="none"/>
                <w:lang w:eastAsia="zh-CN"/>
              </w:rPr>
              <w:t>王元涛</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1"/>
                <w:szCs w:val="21"/>
                <w:lang w:val="en-US" w:eastAsia="zh-CN"/>
              </w:rPr>
            </w:pPr>
            <w:r>
              <w:rPr>
                <w:rFonts w:hint="eastAsia" w:ascii="Times New Roman" w:hAnsi="Times New Roman" w:cs="Times New Roman"/>
                <w:szCs w:val="22"/>
                <w:highlight w:val="none"/>
              </w:rPr>
              <w:t>审核员：</w:t>
            </w:r>
            <w:r>
              <w:rPr>
                <w:rFonts w:hint="eastAsia" w:cs="Times New Roman"/>
                <w:szCs w:val="22"/>
                <w:highlight w:val="none"/>
                <w:lang w:val="en-US" w:eastAsia="zh-CN"/>
              </w:rPr>
              <w:t>李俐</w:t>
            </w:r>
            <w:r>
              <w:rPr>
                <w:rFonts w:hint="eastAsia" w:ascii="Times New Roman" w:hAnsi="Times New Roman" w:cs="Times New Roman"/>
                <w:szCs w:val="22"/>
                <w:highlight w:val="none"/>
                <w:lang w:val="en-US" w:eastAsia="zh-CN"/>
              </w:rPr>
              <w:t xml:space="preserve">              </w:t>
            </w:r>
            <w:r>
              <w:rPr>
                <w:rFonts w:hint="eastAsia" w:ascii="Times New Roman" w:hAnsi="Times New Roman" w:cs="Times New Roman"/>
                <w:szCs w:val="22"/>
                <w:highlight w:val="none"/>
              </w:rPr>
              <w:t>审核时间：202</w:t>
            </w:r>
            <w:r>
              <w:rPr>
                <w:rFonts w:hint="eastAsia" w:ascii="Times New Roman" w:hAnsi="Times New Roman" w:cs="Times New Roman"/>
                <w:szCs w:val="22"/>
                <w:highlight w:val="none"/>
                <w:lang w:val="en-US" w:eastAsia="zh-CN"/>
              </w:rPr>
              <w:t>1</w:t>
            </w:r>
            <w:r>
              <w:rPr>
                <w:rFonts w:hint="eastAsia" w:ascii="Times New Roman" w:hAnsi="Times New Roman" w:cs="Times New Roman"/>
                <w:szCs w:val="22"/>
                <w:highlight w:val="none"/>
              </w:rPr>
              <w:t>年</w:t>
            </w:r>
            <w:r>
              <w:rPr>
                <w:rFonts w:hint="eastAsia" w:cs="Times New Roman"/>
                <w:szCs w:val="22"/>
                <w:highlight w:val="none"/>
                <w:lang w:val="en-US" w:eastAsia="zh-CN"/>
              </w:rPr>
              <w:t>2</w:t>
            </w:r>
            <w:r>
              <w:rPr>
                <w:rFonts w:hint="eastAsia" w:ascii="Times New Roman" w:hAnsi="Times New Roman" w:cs="Times New Roman"/>
                <w:szCs w:val="22"/>
                <w:highlight w:val="none"/>
              </w:rPr>
              <w:t>月</w:t>
            </w:r>
            <w:r>
              <w:rPr>
                <w:rFonts w:hint="eastAsia" w:cs="Times New Roman"/>
                <w:szCs w:val="22"/>
                <w:highlight w:val="none"/>
                <w:lang w:val="en-US" w:eastAsia="zh-CN"/>
              </w:rPr>
              <w:t>5</w:t>
            </w:r>
            <w:r>
              <w:rPr>
                <w:rFonts w:hint="eastAsia" w:ascii="Times New Roman" w:hAnsi="Times New Roman" w:cs="Times New Roman"/>
                <w:szCs w:val="22"/>
                <w:highlight w:val="none"/>
              </w:rPr>
              <w:t>日</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80" w:lineRule="exact"/>
              <w:jc w:val="left"/>
              <w:rPr>
                <w:sz w:val="21"/>
                <w:szCs w:val="21"/>
              </w:rPr>
            </w:pPr>
            <w:r>
              <w:rPr>
                <w:rFonts w:hint="eastAsia"/>
                <w:sz w:val="21"/>
                <w:szCs w:val="21"/>
              </w:rPr>
              <w:t>审核条款：</w:t>
            </w:r>
            <w:r>
              <w:rPr>
                <w:rFonts w:hint="eastAsia" w:ascii="宋体" w:hAnsi="宋体" w:cs="Arial"/>
                <w:color w:val="auto"/>
                <w:sz w:val="21"/>
                <w:szCs w:val="21"/>
                <w:lang w:val="en-US" w:eastAsia="zh-CN"/>
              </w:rPr>
              <w:t>QEO：</w:t>
            </w:r>
            <w:r>
              <w:rPr>
                <w:rFonts w:hint="eastAsia" w:ascii="宋体" w:hAnsi="宋体" w:cs="Arial"/>
                <w:color w:val="auto"/>
                <w:sz w:val="21"/>
                <w:szCs w:val="21"/>
              </w:rPr>
              <w:t>5.3</w:t>
            </w:r>
            <w:r>
              <w:rPr>
                <w:rFonts w:hint="eastAsia" w:ascii="宋体" w:hAnsi="宋体" w:cs="Arial"/>
                <w:color w:val="auto"/>
                <w:sz w:val="21"/>
                <w:szCs w:val="21"/>
                <w:lang w:val="en-US" w:eastAsia="zh-CN"/>
              </w:rPr>
              <w:t xml:space="preserve">   Q：8.1、8.3、</w:t>
            </w:r>
            <w:r>
              <w:rPr>
                <w:rFonts w:hint="eastAsia" w:ascii="宋体" w:hAnsi="宋体" w:cs="Arial"/>
                <w:color w:val="auto"/>
                <w:sz w:val="21"/>
                <w:szCs w:val="21"/>
              </w:rPr>
              <w:t>8.5.1</w:t>
            </w:r>
            <w:r>
              <w:rPr>
                <w:rFonts w:hint="eastAsia" w:ascii="宋体" w:hAnsi="宋体" w:cs="Arial"/>
                <w:color w:val="auto"/>
                <w:sz w:val="21"/>
                <w:szCs w:val="21"/>
                <w:lang w:eastAsia="zh-CN"/>
              </w:rPr>
              <w:t>、</w:t>
            </w:r>
            <w:r>
              <w:rPr>
                <w:rFonts w:hint="eastAsia" w:ascii="宋体" w:hAnsi="宋体" w:cs="Arial"/>
                <w:color w:val="auto"/>
                <w:sz w:val="21"/>
                <w:szCs w:val="21"/>
              </w:rPr>
              <w:t>8.6</w:t>
            </w:r>
            <w:r>
              <w:rPr>
                <w:rFonts w:hint="eastAsia" w:ascii="宋体" w:hAnsi="宋体" w:cs="Arial"/>
                <w:color w:val="auto"/>
                <w:sz w:val="21"/>
                <w:szCs w:val="21"/>
                <w:lang w:val="en-US" w:eastAsia="zh-CN"/>
              </w:rPr>
              <w:t xml:space="preserve">    EO：</w:t>
            </w:r>
            <w:r>
              <w:rPr>
                <w:rFonts w:hint="eastAsia" w:ascii="宋体" w:hAnsi="宋体" w:cs="Arial"/>
                <w:color w:val="auto"/>
                <w:sz w:val="21"/>
                <w:szCs w:val="21"/>
              </w:rPr>
              <w:t>6.1.2</w:t>
            </w:r>
            <w:r>
              <w:rPr>
                <w:rFonts w:hint="eastAsia" w:ascii="宋体" w:hAnsi="宋体" w:cs="Arial"/>
                <w:color w:val="auto"/>
                <w:sz w:val="21"/>
                <w:szCs w:val="21"/>
                <w:lang w:eastAsia="zh-CN"/>
              </w:rPr>
              <w:t>、</w:t>
            </w:r>
            <w:r>
              <w:rPr>
                <w:rFonts w:hint="eastAsia" w:ascii="宋体" w:hAnsi="宋体" w:cs="Arial"/>
                <w:color w:val="auto"/>
                <w:sz w:val="21"/>
                <w:szCs w:val="21"/>
                <w:lang w:val="en-US" w:eastAsia="zh-CN"/>
              </w:rPr>
              <w:t>6.1.4、8.1、8.2</w:t>
            </w:r>
            <w:bookmarkStart w:id="0" w:name="_GoBack"/>
            <w:bookmarkEnd w:id="0"/>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岗位、职责、权限、责任</w:t>
            </w:r>
          </w:p>
          <w:p>
            <w:pPr>
              <w:rPr>
                <w:rFonts w:hint="eastAsia" w:asciiTheme="minorEastAsia" w:hAnsiTheme="minorEastAsia" w:eastAsiaTheme="minorEastAsia" w:cstheme="minorEastAsia"/>
                <w:kern w:val="2"/>
                <w:sz w:val="21"/>
                <w:szCs w:val="21"/>
                <w:lang w:val="en-US" w:eastAsia="zh-CN" w:bidi="ar-SA"/>
              </w:rPr>
            </w:pPr>
          </w:p>
        </w:tc>
        <w:tc>
          <w:tcPr>
            <w:tcW w:w="960" w:type="dxa"/>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QEO:5.3</w:t>
            </w:r>
          </w:p>
          <w:p>
            <w:pPr>
              <w:rPr>
                <w:rFonts w:hint="eastAsia" w:asciiTheme="minorEastAsia" w:hAnsiTheme="minorEastAsia" w:eastAsiaTheme="minorEastAsia" w:cstheme="minorEastAsia"/>
                <w:sz w:val="21"/>
                <w:szCs w:val="21"/>
                <w:lang w:val="en-US" w:eastAsia="zh-CN"/>
              </w:rPr>
            </w:pPr>
          </w:p>
        </w:tc>
        <w:tc>
          <w:tcPr>
            <w:tcW w:w="10004" w:type="dxa"/>
            <w:vAlign w:val="top"/>
          </w:tcPr>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技术部   负责人：张学锋 </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查《管理手册》规定了本部门的职责和权限   主要负责：</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w:t>
            </w:r>
            <w:r>
              <w:rPr>
                <w:rFonts w:hint="eastAsia" w:asciiTheme="minorEastAsia" w:hAnsiTheme="minorEastAsia" w:eastAsiaTheme="minorEastAsia" w:cstheme="minorEastAsia"/>
                <w:sz w:val="21"/>
                <w:szCs w:val="21"/>
                <w:lang w:val="en-US" w:eastAsia="zh-CN"/>
              </w:rPr>
              <w:t>开发及技术服务</w:t>
            </w:r>
            <w:r>
              <w:rPr>
                <w:rFonts w:hint="eastAsia" w:asciiTheme="minorEastAsia" w:hAnsiTheme="minorEastAsia" w:eastAsiaTheme="minorEastAsia" w:cstheme="minorEastAsia"/>
                <w:sz w:val="21"/>
                <w:szCs w:val="21"/>
                <w:lang w:eastAsia="zh-CN"/>
              </w:rPr>
              <w:t>设备及配套设施的管理；</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--负责工作环境管理；</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--负责项目计划编制和组织实施；负责特殊过程确认；负责产品标识管理；负责产品防护管理；</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--负责物资的日常管理工作；</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—负责公司环境因素和危险源的识别和管理；重要环境因素、重大危险源的评价管理工作；</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--组织制定环境目标指标、职业健康安全目标和环境、职业健康安全管理方案；</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—负责产品、质量、环境和职业健康安全绩效的监测与评价；</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—做好本部门的运行控制工作。</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—负责设计研发</w:t>
            </w:r>
            <w:r>
              <w:rPr>
                <w:rFonts w:hint="eastAsia" w:asciiTheme="minorEastAsia" w:hAnsiTheme="minorEastAsia" w:eastAsiaTheme="minorEastAsia" w:cstheme="minorEastAsia"/>
                <w:sz w:val="21"/>
                <w:szCs w:val="21"/>
                <w:lang w:val="en-US" w:eastAsia="zh-CN"/>
              </w:rPr>
              <w:t>及技术服务</w:t>
            </w:r>
            <w:r>
              <w:rPr>
                <w:rFonts w:hint="eastAsia" w:asciiTheme="minorEastAsia" w:hAnsiTheme="minorEastAsia" w:eastAsiaTheme="minorEastAsia" w:cstheme="minorEastAsia"/>
                <w:sz w:val="21"/>
                <w:szCs w:val="21"/>
                <w:lang w:eastAsia="zh-CN"/>
              </w:rPr>
              <w:t>流程及标准的制定与培训；</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—负责对设计研发</w:t>
            </w:r>
            <w:r>
              <w:rPr>
                <w:rFonts w:hint="eastAsia" w:asciiTheme="minorEastAsia" w:hAnsiTheme="minorEastAsia" w:eastAsiaTheme="minorEastAsia" w:cstheme="minorEastAsia"/>
                <w:sz w:val="21"/>
                <w:szCs w:val="21"/>
                <w:lang w:val="en-US" w:eastAsia="zh-CN"/>
              </w:rPr>
              <w:t>及技术服务</w:t>
            </w:r>
            <w:r>
              <w:rPr>
                <w:rFonts w:hint="eastAsia" w:asciiTheme="minorEastAsia" w:hAnsiTheme="minorEastAsia" w:eastAsiaTheme="minorEastAsia" w:cstheme="minorEastAsia"/>
                <w:sz w:val="21"/>
                <w:szCs w:val="21"/>
                <w:lang w:eastAsia="zh-CN"/>
              </w:rPr>
              <w:t>流程的执行情况进行监督、检查；</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—负责对不合格产品和服务的控制；</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—负责监视和测量设备的有效控制；</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—负责事件调查、不合格/不符合与纠正措施的归口管理；</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—负责监控设计研发</w:t>
            </w:r>
            <w:r>
              <w:rPr>
                <w:rFonts w:hint="eastAsia" w:asciiTheme="minorEastAsia" w:hAnsiTheme="minorEastAsia" w:eastAsiaTheme="minorEastAsia" w:cstheme="minorEastAsia"/>
                <w:sz w:val="21"/>
                <w:szCs w:val="21"/>
                <w:lang w:val="en-US" w:eastAsia="zh-CN"/>
              </w:rPr>
              <w:t>及技术服务</w:t>
            </w:r>
            <w:r>
              <w:rPr>
                <w:rFonts w:hint="eastAsia" w:asciiTheme="minorEastAsia" w:hAnsiTheme="minorEastAsia" w:eastAsiaTheme="minorEastAsia" w:cstheme="minorEastAsia"/>
                <w:sz w:val="21"/>
                <w:szCs w:val="21"/>
                <w:lang w:eastAsia="zh-CN"/>
              </w:rPr>
              <w:t>过程每个关健点，发现问题及时纠正；</w:t>
            </w:r>
          </w:p>
          <w:p>
            <w:pP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—做好本部门的环境因素识别、危险源辨识与控制工作。</w:t>
            </w:r>
          </w:p>
        </w:tc>
        <w:tc>
          <w:tcPr>
            <w:tcW w:w="1585" w:type="dxa"/>
          </w:tcPr>
          <w:p>
            <w:r>
              <w:rPr>
                <w:rFonts w:hint="eastAsia"/>
              </w:rPr>
              <w:t>Y</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环境因素识别，危险源辨识、风险评估及控制措施</w:t>
            </w:r>
          </w:p>
        </w:tc>
        <w:tc>
          <w:tcPr>
            <w:tcW w:w="9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EO:6.1.2/6.1.4</w:t>
            </w:r>
          </w:p>
        </w:tc>
        <w:tc>
          <w:tcPr>
            <w:tcW w:w="10004" w:type="dxa"/>
            <w:vAlign w:val="top"/>
          </w:tcPr>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编制《</w:t>
            </w:r>
            <w:r>
              <w:rPr>
                <w:rFonts w:hint="eastAsia" w:ascii="宋体" w:hAnsi="宋体" w:cs="宋体"/>
                <w:szCs w:val="21"/>
              </w:rPr>
              <w:t>环境因素识别和评价控制程序</w:t>
            </w:r>
            <w:r>
              <w:rPr>
                <w:rFonts w:hint="eastAsia" w:ascii="宋体" w:hAnsi="宋体" w:cs="宋体"/>
                <w:szCs w:val="21"/>
                <w:lang w:val="en-US" w:eastAsia="zh-CN"/>
              </w:rPr>
              <w:t>》、《</w:t>
            </w:r>
            <w:r>
              <w:rPr>
                <w:rFonts w:hint="eastAsia" w:ascii="宋体" w:hAnsi="宋体" w:cs="宋体"/>
                <w:szCs w:val="21"/>
              </w:rPr>
              <w:t>危险源辨识、风险评价和控制措施的确定</w:t>
            </w:r>
            <w:r>
              <w:rPr>
                <w:rFonts w:hint="eastAsia" w:ascii="宋体" w:hAnsi="宋体" w:cs="宋体"/>
                <w:szCs w:val="21"/>
                <w:lang w:val="en-US" w:eastAsia="zh-CN"/>
              </w:rPr>
              <w:t>》、《风险和机遇分析、评价和应对措施的确定程序》等程序，按照相关程序执行。</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提供《环境因素识别排查表》识别了办公区、技术部、</w:t>
            </w:r>
            <w:r>
              <w:rPr>
                <w:rFonts w:hint="eastAsia" w:ascii="宋体" w:hAnsi="宋体" w:cs="宋体"/>
                <w:szCs w:val="21"/>
                <w:lang w:eastAsia="zh-CN"/>
              </w:rPr>
              <w:t>油田钻采技术开发及技术服务</w:t>
            </w:r>
            <w:r>
              <w:rPr>
                <w:rFonts w:hint="eastAsia" w:ascii="宋体" w:hAnsi="宋体" w:cs="宋体"/>
                <w:szCs w:val="21"/>
              </w:rPr>
              <w:t>过程</w:t>
            </w:r>
            <w:r>
              <w:rPr>
                <w:rFonts w:hint="eastAsia" w:ascii="宋体" w:hAnsi="宋体" w:cs="宋体"/>
                <w:szCs w:val="21"/>
                <w:lang w:val="en-US" w:eastAsia="zh-CN"/>
              </w:rPr>
              <w:t>等环境因素包括：水的消耗、电的消耗、办公用</w:t>
            </w:r>
            <w:r>
              <w:rPr>
                <w:rFonts w:hint="eastAsia" w:ascii="宋体" w:hAnsi="宋体" w:eastAsia="宋体" w:cs="宋体"/>
                <w:szCs w:val="21"/>
                <w:lang w:val="en-US" w:eastAsia="zh-CN"/>
              </w:rPr>
              <w:t>品的消耗、汽车尾气的排放</w:t>
            </w:r>
            <w:r>
              <w:rPr>
                <w:rFonts w:hint="eastAsia" w:ascii="宋体" w:hAnsi="宋体" w:cs="宋体"/>
                <w:szCs w:val="21"/>
                <w:lang w:val="en-US" w:eastAsia="zh-CN"/>
              </w:rPr>
              <w:t>、生活垃圾的排放、纸箱、包装物的废弃物等；</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提供《重要环境因素清</w:t>
            </w:r>
            <w:r>
              <w:rPr>
                <w:rFonts w:hint="eastAsia" w:ascii="宋体" w:hAnsi="宋体" w:eastAsia="宋体" w:cs="宋体"/>
                <w:szCs w:val="21"/>
                <w:lang w:val="en-US" w:eastAsia="zh-CN"/>
              </w:rPr>
              <w:t>单》</w:t>
            </w:r>
            <w:r>
              <w:rPr>
                <w:rFonts w:hint="eastAsia" w:ascii="宋体" w:hAnsi="宋体" w:cs="宋体"/>
                <w:szCs w:val="21"/>
                <w:lang w:val="en-US" w:eastAsia="zh-CN"/>
              </w:rPr>
              <w:t>2</w:t>
            </w:r>
            <w:r>
              <w:rPr>
                <w:rFonts w:hint="eastAsia" w:ascii="宋体" w:hAnsi="宋体" w:eastAsia="宋体" w:cs="宋体"/>
                <w:szCs w:val="21"/>
                <w:lang w:val="en-US" w:eastAsia="zh-CN"/>
              </w:rPr>
              <w:t>项，包括固废排放（材料包装物废弃、办公垃圾等）、火灾（</w:t>
            </w:r>
            <w:r>
              <w:rPr>
                <w:rFonts w:hint="eastAsia" w:ascii="宋体" w:hAnsi="宋体"/>
                <w:szCs w:val="21"/>
              </w:rPr>
              <w:t>办公</w:t>
            </w:r>
            <w:r>
              <w:rPr>
                <w:rFonts w:hint="eastAsia" w:ascii="宋体" w:hAnsi="宋体"/>
                <w:szCs w:val="21"/>
                <w:lang w:val="en-US" w:eastAsia="zh-CN"/>
              </w:rPr>
              <w:t>过程潜在火灾的发生</w:t>
            </w:r>
            <w:r>
              <w:rPr>
                <w:rFonts w:hint="eastAsia" w:ascii="宋体" w:hAnsi="宋体" w:eastAsia="宋体" w:cs="宋体"/>
                <w:szCs w:val="21"/>
                <w:lang w:val="en-US" w:eastAsia="zh-CN"/>
              </w:rPr>
              <w:t>）</w:t>
            </w:r>
            <w:r>
              <w:rPr>
                <w:rFonts w:hint="eastAsia" w:ascii="宋体" w:hAnsi="宋体" w:cs="宋体"/>
                <w:szCs w:val="21"/>
                <w:lang w:val="en-US" w:eastAsia="zh-CN"/>
              </w:rPr>
              <w:t>。</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提供《危险源辨识与风险评价》，识别了办公区、技术部、</w:t>
            </w:r>
            <w:r>
              <w:rPr>
                <w:rFonts w:hint="eastAsia" w:ascii="宋体" w:hAnsi="宋体" w:cs="宋体"/>
                <w:szCs w:val="21"/>
                <w:lang w:eastAsia="zh-CN"/>
              </w:rPr>
              <w:t>油田钻采技术开发及技术服务</w:t>
            </w:r>
            <w:r>
              <w:rPr>
                <w:rFonts w:hint="eastAsia" w:ascii="宋体" w:hAnsi="宋体" w:cs="宋体"/>
                <w:szCs w:val="21"/>
              </w:rPr>
              <w:t>过程</w:t>
            </w:r>
            <w:r>
              <w:rPr>
                <w:rFonts w:hint="eastAsia" w:ascii="宋体" w:hAnsi="宋体" w:cs="宋体"/>
                <w:szCs w:val="21"/>
                <w:lang w:val="en-US" w:eastAsia="zh-CN"/>
              </w:rPr>
              <w:t>等危险源，抽查如下：</w:t>
            </w:r>
          </w:p>
          <w:p>
            <w:pPr>
              <w:spacing w:line="360" w:lineRule="auto"/>
              <w:rPr>
                <w:rFonts w:hint="eastAsia" w:ascii="宋体" w:hAnsi="宋体" w:cs="宋体"/>
                <w:szCs w:val="21"/>
                <w:lang w:val="en-US" w:eastAsia="zh-CN"/>
              </w:rPr>
            </w:pPr>
            <w:r>
              <w:rPr>
                <w:rFonts w:hint="eastAsia" w:ascii="宋体" w:hAnsi="宋体" w:cs="宋体"/>
                <w:szCs w:val="21"/>
                <w:lang w:val="en-US" w:eastAsia="zh-CN"/>
              </w:rPr>
              <w:t>作业活动</w:t>
            </w:r>
            <w:r>
              <w:rPr>
                <w:rFonts w:hint="eastAsia" w:ascii="宋体" w:hAnsi="宋体" w:cs="宋体"/>
                <w:szCs w:val="21"/>
                <w:lang w:val="en-US" w:eastAsia="zh-CN"/>
              </w:rPr>
              <w:tab/>
            </w:r>
            <w:r>
              <w:rPr>
                <w:rFonts w:hint="eastAsia" w:ascii="宋体" w:hAnsi="宋体" w:cs="宋体"/>
                <w:szCs w:val="21"/>
                <w:lang w:val="en-US" w:eastAsia="zh-CN"/>
              </w:rPr>
              <w:t xml:space="preserve"> 危险源</w:t>
            </w:r>
            <w:r>
              <w:rPr>
                <w:rFonts w:hint="eastAsia" w:ascii="宋体" w:hAnsi="宋体" w:cs="宋体"/>
                <w:szCs w:val="21"/>
                <w:lang w:val="en-US" w:eastAsia="zh-CN"/>
              </w:rPr>
              <w:tab/>
            </w:r>
            <w:r>
              <w:rPr>
                <w:rFonts w:hint="eastAsia" w:ascii="宋体" w:hAnsi="宋体" w:cs="宋体"/>
                <w:szCs w:val="21"/>
                <w:lang w:val="en-US" w:eastAsia="zh-CN"/>
              </w:rPr>
              <w:t xml:space="preserve">   导致的后果</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电危害</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各类电气插座、插头老化</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火灾、触电</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人员外出的车辆、和下车间检查运转设备的危害</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交通事故/机械伤害</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标志缺陷</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办公大楼消防标志不规范</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火灾</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传染病媒介物</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个别人员患传染病在不知道的情况下传染给他人</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传染病</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交通运输</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疲劳驾驶、违章驾驶</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交通事故</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暑期办公</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高温作业</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中暑</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办公</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办公区未配备消防器材或器材过期损坏、不会使用消防器材</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火灾</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日常办公管理</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抽烟</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火灾、健康损害</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上下楼梯</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地面不平、不小心</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线路短路/易燃物遇明火</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引起火灾</w:t>
            </w:r>
            <w:r>
              <w:rPr>
                <w:rFonts w:hint="eastAsia" w:asciiTheme="minorEastAsia" w:hAnsiTheme="minorEastAsia" w:eastAsiaTheme="minorEastAsia" w:cstheme="minorEastAsia"/>
                <w:sz w:val="21"/>
                <w:szCs w:val="21"/>
                <w:highlight w:val="none"/>
                <w:lang w:val="en-US" w:eastAsia="zh-CN"/>
              </w:rPr>
              <w:tab/>
            </w:r>
            <w:r>
              <w:rPr>
                <w:rFonts w:hint="eastAsia" w:asciiTheme="minorEastAsia" w:hAnsiTheme="minorEastAsia" w:eastAsiaTheme="minorEastAsia" w:cstheme="minorEastAsia"/>
                <w:sz w:val="21"/>
                <w:szCs w:val="21"/>
                <w:highlight w:val="none"/>
                <w:lang w:val="en-US" w:eastAsia="zh-CN"/>
              </w:rPr>
              <w:t>人身伤害</w:t>
            </w:r>
          </w:p>
          <w:p>
            <w:pPr>
              <w:pStyle w:val="25"/>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见《不可接受危险源清单》，触电、火灾伤害、意外交通事故。</w:t>
            </w:r>
          </w:p>
          <w:p>
            <w:pPr>
              <w:pStyle w:val="25"/>
              <w:rPr>
                <w:rFonts w:hint="eastAsia" w:asciiTheme="minorEastAsia" w:hAnsiTheme="minorEastAsia" w:eastAsiaTheme="minorEastAsia" w:cstheme="minorEastAsia"/>
                <w:bCs/>
                <w:spacing w:val="10"/>
                <w:kern w:val="2"/>
                <w:sz w:val="21"/>
                <w:szCs w:val="21"/>
                <w:highlight w:val="none"/>
                <w:lang w:val="en-US" w:eastAsia="zh-CN" w:bidi="ar-SA"/>
              </w:rPr>
            </w:pPr>
            <w:r>
              <w:rPr>
                <w:rFonts w:hint="eastAsia" w:asciiTheme="minorEastAsia" w:hAnsiTheme="minorEastAsia" w:eastAsiaTheme="minorEastAsia" w:cstheme="minorEastAsia"/>
                <w:bCs w:val="0"/>
                <w:spacing w:val="0"/>
                <w:kern w:val="2"/>
                <w:sz w:val="21"/>
                <w:szCs w:val="21"/>
                <w:highlight w:val="none"/>
                <w:lang w:val="en-US" w:eastAsia="zh-CN" w:bidi="ar-SA"/>
              </w:rPr>
              <w:t>以上重要环境因素清单、</w:t>
            </w:r>
            <w:r>
              <w:rPr>
                <w:rFonts w:hint="eastAsia" w:asciiTheme="minorEastAsia" w:hAnsiTheme="minorEastAsia" w:eastAsiaTheme="minorEastAsia" w:cstheme="minorEastAsia"/>
                <w:sz w:val="21"/>
                <w:szCs w:val="21"/>
                <w:highlight w:val="none"/>
                <w:lang w:val="en-US" w:eastAsia="zh-CN"/>
              </w:rPr>
              <w:t>不可接受危险源清单</w:t>
            </w:r>
            <w:r>
              <w:rPr>
                <w:rFonts w:hint="eastAsia" w:asciiTheme="minorEastAsia" w:hAnsiTheme="minorEastAsia" w:eastAsiaTheme="minorEastAsia" w:cstheme="minorEastAsia"/>
                <w:bCs w:val="0"/>
                <w:spacing w:val="0"/>
                <w:kern w:val="2"/>
                <w:sz w:val="21"/>
                <w:szCs w:val="21"/>
                <w:highlight w:val="none"/>
                <w:lang w:val="en-US" w:eastAsia="zh-CN" w:bidi="ar-SA"/>
              </w:rPr>
              <w:t>中制定了针对性控制措施，措施基本有效。</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运行策划和控制</w:t>
            </w:r>
          </w:p>
        </w:tc>
        <w:tc>
          <w:tcPr>
            <w:tcW w:w="960" w:type="dxa"/>
            <w:vAlign w:val="top"/>
          </w:tcPr>
          <w:p>
            <w:pPr>
              <w:snapToGrid w:val="0"/>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lang w:val="en-US" w:eastAsia="zh-CN"/>
              </w:rPr>
              <w:t>Q</w:t>
            </w:r>
            <w:r>
              <w:rPr>
                <w:rFonts w:hint="eastAsia" w:ascii="宋体" w:hAnsi="宋体" w:eastAsia="宋体" w:cs="宋体"/>
                <w:color w:val="auto"/>
                <w:szCs w:val="21"/>
              </w:rPr>
              <w:t>8.1</w:t>
            </w:r>
          </w:p>
        </w:tc>
        <w:tc>
          <w:tcPr>
            <w:tcW w:w="10004" w:type="dxa"/>
            <w:vAlign w:val="top"/>
          </w:tcPr>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lang w:val="en-US" w:eastAsia="zh-CN"/>
              </w:rPr>
              <w:t>油田钻采技术开发及技术服务</w:t>
            </w:r>
            <w:r>
              <w:rPr>
                <w:rFonts w:hint="eastAsia" w:ascii="宋体" w:hAnsi="宋体" w:eastAsia="宋体" w:cs="宋体"/>
                <w:color w:val="auto"/>
                <w:szCs w:val="21"/>
              </w:rPr>
              <w:t>实现的策划主要由</w:t>
            </w:r>
            <w:r>
              <w:rPr>
                <w:rFonts w:hint="eastAsia" w:ascii="宋体" w:hAnsi="宋体" w:cs="宋体"/>
                <w:color w:val="auto"/>
                <w:szCs w:val="21"/>
                <w:lang w:val="en-US" w:eastAsia="zh-CN"/>
              </w:rPr>
              <w:t>技术</w:t>
            </w:r>
            <w:r>
              <w:rPr>
                <w:rFonts w:hint="eastAsia" w:ascii="宋体" w:hAnsi="宋体" w:cs="宋体"/>
                <w:color w:val="auto"/>
                <w:szCs w:val="21"/>
                <w:lang w:eastAsia="zh-CN"/>
              </w:rPr>
              <w:t>部</w:t>
            </w:r>
            <w:r>
              <w:rPr>
                <w:rFonts w:hint="eastAsia" w:ascii="宋体" w:hAnsi="宋体" w:eastAsia="宋体" w:cs="宋体"/>
                <w:color w:val="auto"/>
                <w:szCs w:val="21"/>
              </w:rPr>
              <w:t>负责人完成，过程策划包含了实现产品所需达到的质量目标和要求，公司主要依据</w:t>
            </w:r>
            <w:r>
              <w:rPr>
                <w:rFonts w:hint="eastAsia" w:ascii="宋体" w:hAnsi="宋体" w:eastAsia="宋体" w:cs="宋体"/>
                <w:color w:val="auto"/>
                <w:szCs w:val="21"/>
                <w:lang w:val="en-US" w:eastAsia="zh-CN"/>
              </w:rPr>
              <w:t>国家标准</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客户要求</w:t>
            </w:r>
            <w:r>
              <w:rPr>
                <w:rFonts w:hint="eastAsia" w:ascii="宋体" w:hAnsi="宋体" w:eastAsia="宋体" w:cs="宋体"/>
                <w:color w:val="auto"/>
                <w:szCs w:val="21"/>
                <w:lang w:eastAsia="zh-CN"/>
              </w:rPr>
              <w:t>，井控技术规定Q/SY TH0082-2000、井控设备现场安装及验收规程Q/SY TH0059-2000、井喷的预防及处理工艺规程Q/SY TH0058-2000、井喷压井操作规程Q/SY TH0080-2000、高压油气井钻井过程井控作业规程Q/SY TH0081-2000、钻井工程资料填写验收规程Q/SY TH0070-2000、长庆油田生产测井及试井仪器刻度标定规范Q/SY CQ 2013-07</w:t>
            </w:r>
            <w:r>
              <w:rPr>
                <w:rFonts w:hint="eastAsia" w:ascii="宋体" w:hAnsi="宋体" w:eastAsia="宋体" w:cs="宋体"/>
                <w:color w:val="auto"/>
                <w:szCs w:val="21"/>
              </w:rPr>
              <w:t>，编制了相应的过程文件：</w:t>
            </w:r>
          </w:p>
          <w:p>
            <w:pPr>
              <w:snapToGrid w:val="0"/>
              <w:spacing w:line="360" w:lineRule="auto"/>
              <w:ind w:firstLine="420" w:firstLineChars="200"/>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编制了开发及技术服务流程服务流程：项目立项→需求调研/分析→成果设计/实施服务→客户测试验收</w:t>
            </w:r>
            <w:r>
              <w:rPr>
                <w:rFonts w:hint="eastAsia" w:ascii="宋体" w:hAnsi="宋体" w:cs="宋体"/>
                <w:color w:val="auto"/>
                <w:szCs w:val="21"/>
                <w:lang w:val="en-US" w:eastAsia="zh-CN"/>
              </w:rPr>
              <w:t>。</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针对</w:t>
            </w:r>
            <w:r>
              <w:rPr>
                <w:rFonts w:hint="eastAsia" w:ascii="宋体" w:hAnsi="宋体" w:eastAsia="宋体" w:cs="宋体"/>
                <w:color w:val="auto"/>
                <w:szCs w:val="21"/>
                <w:lang w:val="en-US" w:eastAsia="zh-CN"/>
              </w:rPr>
              <w:t>开发及技术服务</w:t>
            </w:r>
            <w:r>
              <w:rPr>
                <w:rFonts w:hint="eastAsia" w:ascii="宋体" w:hAnsi="宋体" w:eastAsia="宋体" w:cs="宋体"/>
                <w:color w:val="auto"/>
                <w:szCs w:val="21"/>
              </w:rPr>
              <w:t>过程制定了作业指导书</w:t>
            </w:r>
            <w:r>
              <w:rPr>
                <w:rFonts w:hint="eastAsia" w:ascii="宋体" w:hAnsi="宋体" w:eastAsia="宋体" w:cs="宋体"/>
                <w:color w:val="auto"/>
                <w:szCs w:val="21"/>
                <w:lang w:eastAsia="zh-CN"/>
              </w:rPr>
              <w:t>：《</w:t>
            </w:r>
            <w:r>
              <w:rPr>
                <w:rFonts w:hint="eastAsia" w:ascii="宋体" w:hAnsi="宋体" w:cs="宋体"/>
                <w:color w:val="auto"/>
                <w:szCs w:val="21"/>
                <w:lang w:val="en-US" w:eastAsia="zh-CN"/>
              </w:rPr>
              <w:t>油田钻井工序设计规范</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等。</w:t>
            </w:r>
            <w:r>
              <w:rPr>
                <w:rFonts w:hint="eastAsia" w:ascii="宋体" w:hAnsi="宋体" w:eastAsia="宋体" w:cs="宋体"/>
                <w:color w:val="auto"/>
                <w:szCs w:val="21"/>
              </w:rPr>
              <w:t>规定了</w:t>
            </w:r>
            <w:r>
              <w:rPr>
                <w:rFonts w:hint="eastAsia" w:ascii="宋体" w:hAnsi="宋体" w:eastAsia="宋体" w:cs="宋体"/>
                <w:color w:val="auto"/>
                <w:szCs w:val="21"/>
                <w:lang w:val="en-US" w:eastAsia="zh-CN"/>
              </w:rPr>
              <w:t>施工</w:t>
            </w:r>
            <w:r>
              <w:rPr>
                <w:rFonts w:hint="eastAsia" w:ascii="宋体" w:hAnsi="宋体" w:eastAsia="宋体" w:cs="宋体"/>
                <w:color w:val="auto"/>
                <w:szCs w:val="21"/>
              </w:rPr>
              <w:t>的验收准则；</w:t>
            </w:r>
          </w:p>
          <w:p>
            <w:pPr>
              <w:snapToGrid w:val="0"/>
              <w:spacing w:line="360" w:lineRule="auto"/>
              <w:ind w:firstLine="420" w:firstLineChars="200"/>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对</w:t>
            </w:r>
            <w:r>
              <w:rPr>
                <w:rFonts w:hint="eastAsia" w:ascii="宋体" w:hAnsi="宋体" w:cs="宋体"/>
                <w:color w:val="auto"/>
                <w:szCs w:val="21"/>
                <w:lang w:val="en-US" w:eastAsia="zh-CN"/>
              </w:rPr>
              <w:t>油田钻采技术开发及技术服务</w:t>
            </w:r>
            <w:r>
              <w:rPr>
                <w:rFonts w:hint="eastAsia" w:ascii="宋体" w:hAnsi="宋体" w:eastAsia="宋体" w:cs="宋体"/>
                <w:color w:val="auto"/>
                <w:szCs w:val="21"/>
                <w:lang w:val="en-US" w:eastAsia="zh-CN"/>
              </w:rPr>
              <w:t>设置了</w:t>
            </w:r>
            <w:r>
              <w:rPr>
                <w:rFonts w:hint="eastAsia" w:ascii="宋体" w:hAnsi="宋体"/>
                <w:color w:val="auto"/>
                <w:sz w:val="21"/>
                <w:szCs w:val="21"/>
                <w:lang w:val="en-US" w:eastAsia="zh-CN"/>
              </w:rPr>
              <w:t>相关的记录，详见技术部8.3、8.5.1条款</w:t>
            </w:r>
            <w:r>
              <w:rPr>
                <w:rFonts w:hint="eastAsia" w:ascii="宋体" w:hAnsi="宋体" w:eastAsia="宋体" w:cs="宋体"/>
                <w:color w:val="auto"/>
                <w:szCs w:val="21"/>
                <w:lang w:val="en-US" w:eastAsia="zh-CN"/>
              </w:rPr>
              <w:t>；</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资源的提供（包括人力、物力、办公设备设施、通讯工具、</w:t>
            </w:r>
            <w:r>
              <w:rPr>
                <w:rFonts w:hint="eastAsia" w:ascii="宋体" w:hAnsi="宋体" w:cs="宋体"/>
                <w:color w:val="auto"/>
                <w:szCs w:val="21"/>
                <w:lang w:val="en-US" w:eastAsia="zh-CN"/>
              </w:rPr>
              <w:t>开发</w:t>
            </w:r>
            <w:r>
              <w:rPr>
                <w:rFonts w:hint="eastAsia" w:ascii="宋体" w:hAnsi="宋体" w:eastAsia="宋体" w:cs="宋体"/>
                <w:color w:val="auto"/>
                <w:szCs w:val="21"/>
                <w:lang w:val="en-US" w:eastAsia="zh-CN"/>
              </w:rPr>
              <w:t>所需的设备实施</w:t>
            </w:r>
            <w:r>
              <w:rPr>
                <w:rFonts w:hint="eastAsia" w:ascii="宋体" w:hAnsi="宋体" w:eastAsia="宋体" w:cs="宋体"/>
                <w:color w:val="auto"/>
                <w:szCs w:val="21"/>
              </w:rPr>
              <w:t>等）。</w:t>
            </w:r>
          </w:p>
          <w:p>
            <w:pPr>
              <w:snapToGrid w:val="0"/>
              <w:spacing w:line="360" w:lineRule="auto"/>
              <w:ind w:firstLine="420" w:firstLineChars="200"/>
              <w:rPr>
                <w:rFonts w:hint="eastAsia" w:ascii="宋体" w:hAnsi="宋体" w:eastAsia="宋体" w:cs="宋体"/>
                <w:color w:val="auto"/>
                <w:szCs w:val="21"/>
              </w:rPr>
            </w:pPr>
            <w:r>
              <w:rPr>
                <w:rFonts w:hint="eastAsia" w:ascii="宋体" w:hAnsi="宋体" w:eastAsia="宋体" w:cs="宋体"/>
                <w:color w:val="auto"/>
                <w:szCs w:val="21"/>
              </w:rPr>
              <w:t>策划的输出适合于组织的运行。</w:t>
            </w:r>
          </w:p>
          <w:p>
            <w:pPr>
              <w:snapToGrid w:val="0"/>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rPr>
              <w:t>对于非预期变更，及时进行潜在后果评审，并告知相关人员，目前未发生。经识别企业</w:t>
            </w:r>
            <w:r>
              <w:rPr>
                <w:rFonts w:hint="eastAsia" w:ascii="宋体" w:hAnsi="宋体" w:cs="宋体"/>
                <w:color w:val="auto"/>
                <w:szCs w:val="21"/>
                <w:lang w:val="en-US" w:eastAsia="zh-CN"/>
              </w:rPr>
              <w:t>暂无</w:t>
            </w:r>
            <w:r>
              <w:rPr>
                <w:rFonts w:hint="eastAsia" w:ascii="宋体" w:hAnsi="宋体" w:eastAsia="宋体" w:cs="宋体"/>
                <w:color w:val="auto"/>
                <w:szCs w:val="21"/>
              </w:rPr>
              <w:t>外包过程</w:t>
            </w:r>
            <w:r>
              <w:rPr>
                <w:rFonts w:hint="eastAsia" w:ascii="宋体" w:hAnsi="宋体" w:cs="宋体"/>
                <w:color w:val="auto"/>
                <w:szCs w:val="21"/>
                <w:lang w:eastAsia="zh-CN"/>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pStyle w:val="25"/>
              <w:rPr>
                <w:rFonts w:hint="eastAsia" w:asciiTheme="minorEastAsia" w:hAnsiTheme="minorEastAsia" w:eastAsiaTheme="minorEastAsia" w:cstheme="minorEastAsia"/>
                <w:bCs/>
                <w:color w:val="auto"/>
                <w:spacing w:val="10"/>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环境和职业健康安全运行控制</w:t>
            </w:r>
          </w:p>
        </w:tc>
        <w:tc>
          <w:tcPr>
            <w:tcW w:w="960" w:type="dxa"/>
            <w:vAlign w:val="top"/>
          </w:tcPr>
          <w:p>
            <w:pPr>
              <w:rPr>
                <w:rFonts w:ascii="宋体" w:hAnsi="宋体" w:cs="新宋体"/>
                <w:szCs w:val="21"/>
              </w:rPr>
            </w:pPr>
            <w:r>
              <w:rPr>
                <w:rFonts w:hint="eastAsia" w:ascii="宋体" w:hAnsi="宋体" w:cs="新宋体"/>
                <w:szCs w:val="21"/>
              </w:rPr>
              <w:t>E8.1 </w:t>
            </w:r>
          </w:p>
          <w:p>
            <w:pPr>
              <w:rPr>
                <w:rFonts w:hint="eastAsia" w:asciiTheme="minorEastAsia" w:hAnsiTheme="minorEastAsia" w:eastAsiaTheme="minorEastAsia" w:cstheme="minorEastAsia"/>
                <w:bCs/>
                <w:color w:val="auto"/>
                <w:spacing w:val="10"/>
                <w:kern w:val="2"/>
                <w:sz w:val="21"/>
                <w:szCs w:val="21"/>
                <w:highlight w:val="none"/>
                <w:lang w:val="en-US" w:eastAsia="zh-CN" w:bidi="ar-SA"/>
              </w:rPr>
            </w:pPr>
            <w:r>
              <w:rPr>
                <w:rFonts w:hint="eastAsia" w:ascii="宋体" w:hAnsi="宋体" w:cs="新宋体"/>
                <w:szCs w:val="21"/>
              </w:rPr>
              <w:t>S8.1</w:t>
            </w:r>
          </w:p>
        </w:tc>
        <w:tc>
          <w:tcPr>
            <w:tcW w:w="10004" w:type="dxa"/>
            <w:vAlign w:val="top"/>
          </w:tcPr>
          <w:p>
            <w:pPr>
              <w:tabs>
                <w:tab w:val="left" w:pos="1080"/>
              </w:tabs>
            </w:pPr>
            <w:r>
              <w:rPr>
                <w:rFonts w:hint="eastAsia"/>
              </w:rPr>
              <w:t xml:space="preserve">    在</w:t>
            </w:r>
            <w:r>
              <w:rPr>
                <w:rFonts w:hint="eastAsia"/>
                <w:lang w:eastAsia="zh-CN"/>
              </w:rPr>
              <w:t>技术部</w:t>
            </w:r>
            <w:r>
              <w:rPr>
                <w:rFonts w:hint="eastAsia"/>
              </w:rPr>
              <w:t>查看，提供有</w:t>
            </w:r>
            <w:r>
              <w:rPr>
                <w:rFonts w:hint="eastAsia"/>
                <w:lang w:eastAsia="zh-CN"/>
              </w:rPr>
              <w:t>油田钻采技术开发及技术服务</w:t>
            </w:r>
            <w:r>
              <w:rPr>
                <w:rFonts w:hint="eastAsia"/>
              </w:rPr>
              <w:t>的合同资料、</w:t>
            </w:r>
            <w:r>
              <w:rPr>
                <w:rFonts w:hint="eastAsia"/>
                <w:lang w:val="en-US" w:eastAsia="zh-CN"/>
              </w:rPr>
              <w:t>验收报告</w:t>
            </w:r>
            <w:r>
              <w:rPr>
                <w:rFonts w:hint="eastAsia"/>
              </w:rPr>
              <w:t>等，具体见</w:t>
            </w:r>
            <w:r>
              <w:rPr>
                <w:rFonts w:hint="eastAsia"/>
                <w:lang w:eastAsia="zh-CN"/>
              </w:rPr>
              <w:t>技术部</w:t>
            </w:r>
            <w:r>
              <w:rPr>
                <w:rFonts w:hint="eastAsia"/>
              </w:rPr>
              <w:t>，其认证范围处于正常经营情况。</w:t>
            </w:r>
          </w:p>
          <w:p>
            <w:pPr>
              <w:tabs>
                <w:tab w:val="left" w:pos="1080"/>
              </w:tabs>
              <w:ind w:firstLine="420" w:firstLineChars="200"/>
            </w:pPr>
            <w:r>
              <w:rPr>
                <w:rFonts w:hint="eastAsia"/>
                <w:lang w:eastAsia="zh-CN"/>
              </w:rPr>
              <w:t>技术部</w:t>
            </w:r>
            <w:r>
              <w:rPr>
                <w:rFonts w:hint="eastAsia"/>
              </w:rPr>
              <w:t>重要环境因素有：固废排放、潜在火灾。</w:t>
            </w:r>
          </w:p>
          <w:p>
            <w:pPr>
              <w:spacing w:line="400" w:lineRule="atLeast"/>
              <w:ind w:firstLine="420" w:firstLineChars="200"/>
            </w:pPr>
            <w:r>
              <w:rPr>
                <w:rFonts w:hint="eastAsia"/>
                <w:lang w:eastAsia="zh-CN"/>
              </w:rPr>
              <w:t>技术部</w:t>
            </w:r>
            <w:r>
              <w:rPr>
                <w:rFonts w:hint="eastAsia"/>
              </w:rPr>
              <w:t>根据部门的重要环境因素，策划的环境管理制度有：《应急准备和响应管理制度》、《监视、测量、分析和评价管理制度》、《消防安全管理制度》、《火灾应急措施》等。</w:t>
            </w:r>
          </w:p>
          <w:p>
            <w:pPr>
              <w:spacing w:line="400" w:lineRule="atLeast"/>
              <w:ind w:firstLine="420" w:firstLineChars="200"/>
            </w:pPr>
            <w:r>
              <w:rPr>
                <w:rFonts w:hint="eastAsia"/>
              </w:rPr>
              <w:t>现场查看，部门的服务内容主要有：</w:t>
            </w:r>
            <w:r>
              <w:rPr>
                <w:rFonts w:hint="eastAsia"/>
                <w:lang w:eastAsia="zh-CN"/>
              </w:rPr>
              <w:t>油田钻采技术开发及技术服务</w:t>
            </w:r>
            <w:r>
              <w:rPr>
                <w:rFonts w:hint="eastAsia"/>
              </w:rPr>
              <w:t>服务，主要为克拉玛依胜利髙原机械有限公司</w:t>
            </w:r>
            <w:r>
              <w:rPr>
                <w:rFonts w:hint="eastAsia"/>
                <w:lang w:val="en-US" w:eastAsia="zh-CN"/>
              </w:rPr>
              <w:t>提供油田钻采技术开发及技术服务</w:t>
            </w:r>
            <w:r>
              <w:rPr>
                <w:rFonts w:hint="eastAsia"/>
              </w:rPr>
              <w:t>。</w:t>
            </w:r>
          </w:p>
          <w:p>
            <w:pPr>
              <w:spacing w:line="400" w:lineRule="atLeast"/>
              <w:ind w:firstLine="420" w:firstLineChars="200"/>
            </w:pPr>
            <w:r>
              <w:rPr>
                <w:rFonts w:hint="eastAsia"/>
              </w:rPr>
              <w:t>1、固废排放管理：</w:t>
            </w:r>
          </w:p>
          <w:p>
            <w:pPr>
              <w:spacing w:line="400" w:lineRule="atLeast"/>
              <w:ind w:firstLine="420" w:firstLineChars="200"/>
            </w:pPr>
            <w:r>
              <w:rPr>
                <w:rFonts w:hint="eastAsia"/>
              </w:rPr>
              <w:t>公司编制了《固体废弃物管理规定》，规定了</w:t>
            </w:r>
            <w:r>
              <w:rPr>
                <w:rFonts w:hint="eastAsia"/>
                <w:lang w:val="en-US" w:eastAsia="zh-CN"/>
              </w:rPr>
              <w:t>技术部</w:t>
            </w:r>
            <w:r>
              <w:rPr>
                <w:rFonts w:hint="eastAsia"/>
              </w:rPr>
              <w:t>实施过程固废处理的管理要求。</w:t>
            </w:r>
          </w:p>
          <w:p>
            <w:pPr>
              <w:spacing w:line="400" w:lineRule="atLeast"/>
              <w:ind w:firstLine="420" w:firstLineChars="200"/>
            </w:pPr>
            <w:r>
              <w:rPr>
                <w:rFonts w:hint="eastAsia"/>
              </w:rPr>
              <w:t>查，办公环节的主要固废为：废纸、废办公用品、以及生活垃圾等。现采取集中收集，交由环卫处理。在办公公共区域内垃圾桶标识明确。</w:t>
            </w:r>
          </w:p>
          <w:p>
            <w:pPr>
              <w:spacing w:line="400" w:lineRule="atLeast"/>
              <w:ind w:firstLine="420" w:firstLineChars="200"/>
            </w:pPr>
            <w:r>
              <w:rPr>
                <w:rFonts w:hint="eastAsia"/>
                <w:lang w:eastAsia="zh-CN"/>
              </w:rPr>
              <w:t>油田钻采技术开发及技术服务</w:t>
            </w:r>
            <w:r>
              <w:rPr>
                <w:rFonts w:hint="eastAsia"/>
              </w:rPr>
              <w:t>实施过程的固废有：包装、废弃部件等。</w:t>
            </w:r>
          </w:p>
          <w:p>
            <w:pPr>
              <w:spacing w:line="400" w:lineRule="atLeast"/>
              <w:ind w:firstLine="420" w:firstLineChars="200"/>
            </w:pPr>
            <w:r>
              <w:rPr>
                <w:rFonts w:hint="eastAsia"/>
              </w:rPr>
              <w:t>2、火灾预防：</w:t>
            </w:r>
          </w:p>
          <w:p>
            <w:pPr>
              <w:spacing w:line="400" w:lineRule="atLeast"/>
              <w:ind w:firstLine="420" w:firstLineChars="200"/>
            </w:pPr>
            <w:r>
              <w:rPr>
                <w:rFonts w:hint="eastAsia"/>
              </w:rPr>
              <w:t>查看，公司编制了火灾预防管理规定、应急管理规定。</w:t>
            </w:r>
          </w:p>
          <w:p>
            <w:pPr>
              <w:spacing w:line="400" w:lineRule="atLeast"/>
              <w:ind w:firstLine="420" w:firstLineChars="200"/>
            </w:pPr>
            <w:r>
              <w:rPr>
                <w:rFonts w:hint="eastAsia"/>
              </w:rPr>
              <w:t>查看，办公</w:t>
            </w:r>
            <w:r>
              <w:rPr>
                <w:rFonts w:hint="eastAsia"/>
                <w:lang w:val="en-US" w:eastAsia="zh-CN"/>
              </w:rPr>
              <w:t>区域</w:t>
            </w:r>
            <w:r>
              <w:rPr>
                <w:rFonts w:hint="eastAsia"/>
              </w:rPr>
              <w:t>设置了灭火器、</w:t>
            </w:r>
            <w:r>
              <w:rPr>
                <w:rFonts w:hint="eastAsia"/>
                <w:lang w:val="en-US" w:eastAsia="zh-CN"/>
              </w:rPr>
              <w:t>气体</w:t>
            </w:r>
            <w:r>
              <w:rPr>
                <w:rFonts w:hint="eastAsia"/>
              </w:rPr>
              <w:t>报警器</w:t>
            </w:r>
            <w:r>
              <w:rPr>
                <w:rFonts w:hint="eastAsia"/>
                <w:lang w:eastAsia="zh-CN"/>
              </w:rPr>
              <w:t>、</w:t>
            </w:r>
            <w:r>
              <w:rPr>
                <w:rFonts w:hint="eastAsia"/>
                <w:lang w:val="en-US" w:eastAsia="zh-CN"/>
              </w:rPr>
              <w:t>消火栓</w:t>
            </w:r>
            <w:r>
              <w:rPr>
                <w:rFonts w:hint="eastAsia"/>
              </w:rPr>
              <w:t>等，设施状态良好。</w:t>
            </w:r>
          </w:p>
          <w:p>
            <w:pPr>
              <w:spacing w:line="400" w:lineRule="atLeast"/>
              <w:ind w:firstLine="420" w:firstLineChars="200"/>
            </w:pPr>
            <w:r>
              <w:rPr>
                <w:rFonts w:hint="eastAsia"/>
              </w:rPr>
              <w:t>现场查看,消防设施配置完整，完好。</w:t>
            </w:r>
          </w:p>
          <w:p>
            <w:pPr>
              <w:spacing w:line="400" w:lineRule="atLeast"/>
              <w:ind w:firstLine="420" w:firstLineChars="200"/>
              <w:rPr>
                <w:rFonts w:hint="eastAsia"/>
              </w:rPr>
            </w:pPr>
            <w:r>
              <w:rPr>
                <w:rFonts w:hint="eastAsia"/>
              </w:rPr>
              <w:t>公司定期参加组织的消防培训和演练，</w:t>
            </w:r>
            <w:r>
              <w:rPr>
                <w:rFonts w:hint="eastAsia"/>
                <w:lang w:eastAsia="zh-CN"/>
              </w:rPr>
              <w:t>技术部</w:t>
            </w:r>
            <w:r>
              <w:rPr>
                <w:rFonts w:hint="eastAsia"/>
              </w:rPr>
              <w:t>主要岗位均参与。</w:t>
            </w:r>
          </w:p>
          <w:p>
            <w:pPr>
              <w:rPr>
                <w:rFonts w:hint="eastAsia"/>
              </w:rPr>
            </w:pPr>
          </w:p>
          <w:p>
            <w:pPr>
              <w:spacing w:line="400" w:lineRule="exact"/>
            </w:pPr>
            <w:r>
              <w:rPr>
                <w:rFonts w:hint="eastAsia"/>
              </w:rPr>
              <w:t>现场查看，</w:t>
            </w:r>
            <w:r>
              <w:rPr>
                <w:rFonts w:hint="eastAsia"/>
                <w:lang w:eastAsia="zh-CN"/>
              </w:rPr>
              <w:t>技术部</w:t>
            </w:r>
            <w:r>
              <w:rPr>
                <w:rFonts w:hint="eastAsia"/>
              </w:rPr>
              <w:t>的不可接受风险为：潜在火灾、</w:t>
            </w:r>
            <w:r>
              <w:rPr>
                <w:rFonts w:hint="eastAsia"/>
                <w:lang w:val="en-US" w:eastAsia="zh-CN"/>
              </w:rPr>
              <w:t>触电</w:t>
            </w:r>
            <w:r>
              <w:rPr>
                <w:rFonts w:hint="eastAsia"/>
              </w:rPr>
              <w:t>等。</w:t>
            </w:r>
          </w:p>
          <w:p>
            <w:pPr>
              <w:spacing w:line="400" w:lineRule="exact"/>
              <w:ind w:firstLine="420" w:firstLineChars="200"/>
            </w:pPr>
            <w:r>
              <w:rPr>
                <w:rFonts w:hint="eastAsia"/>
                <w:lang w:eastAsia="zh-CN"/>
              </w:rPr>
              <w:t>技术部</w:t>
            </w:r>
            <w:r>
              <w:rPr>
                <w:rFonts w:hint="eastAsia"/>
              </w:rPr>
              <w:t>制订了相关的危险源防护、管理措施，如《应急救援预案》、《设备操作规程》等：</w:t>
            </w:r>
          </w:p>
          <w:p>
            <w:pPr>
              <w:spacing w:line="400" w:lineRule="exact"/>
              <w:ind w:firstLine="420" w:firstLineChars="200"/>
            </w:pPr>
            <w:r>
              <w:rPr>
                <w:rFonts w:hint="eastAsia"/>
              </w:rPr>
              <w:t>1、触电风险管理：</w:t>
            </w:r>
          </w:p>
          <w:p>
            <w:pPr>
              <w:spacing w:line="400" w:lineRule="exact"/>
              <w:ind w:firstLine="420" w:firstLineChars="200"/>
              <w:rPr>
                <w:rFonts w:hint="eastAsia"/>
              </w:rPr>
            </w:pPr>
            <w:r>
              <w:rPr>
                <w:rFonts w:hint="eastAsia"/>
              </w:rPr>
              <w:t>现场查看，公司规定了安全供电的管理要求，所有电气设备定期进行维护，公司定期对线路、操作柄等进行安全检查，发现问题及时进行处理，设置规范，无不符合情况。</w:t>
            </w:r>
          </w:p>
          <w:p>
            <w:pPr>
              <w:spacing w:line="400" w:lineRule="exact"/>
              <w:ind w:firstLine="420" w:firstLineChars="200"/>
            </w:pPr>
            <w:r>
              <w:rPr>
                <w:rFonts w:hint="eastAsia"/>
              </w:rPr>
              <w:t>2、火灾伤害预防：</w:t>
            </w:r>
          </w:p>
          <w:p>
            <w:pPr>
              <w:spacing w:line="400" w:lineRule="atLeast"/>
              <w:ind w:firstLine="420" w:firstLineChars="200"/>
            </w:pPr>
            <w:r>
              <w:rPr>
                <w:rFonts w:hint="eastAsia"/>
              </w:rPr>
              <w:t>现场了解：公司制订了火灾预防管理规定、应急管理规定。在公共场所设置了灭火器、</w:t>
            </w:r>
            <w:r>
              <w:rPr>
                <w:rFonts w:hint="eastAsia"/>
                <w:lang w:val="en-US" w:eastAsia="zh-CN"/>
              </w:rPr>
              <w:t>应急</w:t>
            </w:r>
            <w:r>
              <w:rPr>
                <w:rFonts w:hint="eastAsia"/>
              </w:rPr>
              <w:t>通道、</w:t>
            </w:r>
            <w:r>
              <w:rPr>
                <w:rFonts w:hint="eastAsia"/>
                <w:lang w:val="en-US" w:eastAsia="zh-CN"/>
              </w:rPr>
              <w:t>气体</w:t>
            </w:r>
            <w:r>
              <w:rPr>
                <w:rFonts w:hint="eastAsia"/>
              </w:rPr>
              <w:t>报警器、应急疏散指示灯等。</w:t>
            </w:r>
          </w:p>
          <w:p>
            <w:pPr>
              <w:spacing w:line="400" w:lineRule="atLeast"/>
              <w:ind w:firstLine="420" w:firstLineChars="200"/>
            </w:pPr>
            <w:r>
              <w:rPr>
                <w:rFonts w:hint="eastAsia"/>
              </w:rPr>
              <w:t>查，</w:t>
            </w:r>
            <w:r>
              <w:rPr>
                <w:rFonts w:hint="eastAsia"/>
                <w:lang w:eastAsia="zh-CN"/>
              </w:rPr>
              <w:t>技术部</w:t>
            </w:r>
            <w:r>
              <w:rPr>
                <w:rFonts w:hint="eastAsia"/>
              </w:rPr>
              <w:t>员工定期参加行政部的消防、应急、逃生培训和演习。</w:t>
            </w:r>
          </w:p>
          <w:p>
            <w:pPr>
              <w:spacing w:line="400" w:lineRule="atLeast"/>
              <w:ind w:firstLine="420" w:firstLineChars="200"/>
              <w:rPr>
                <w:rFonts w:hint="eastAsia"/>
              </w:rPr>
            </w:pPr>
          </w:p>
          <w:p>
            <w:pPr>
              <w:spacing w:line="400" w:lineRule="atLeast"/>
              <w:ind w:firstLine="420" w:firstLineChars="200"/>
              <w:rPr>
                <w:rFonts w:hint="eastAsia"/>
                <w:lang w:eastAsia="zh-CN"/>
              </w:rPr>
            </w:pPr>
          </w:p>
          <w:p>
            <w:pPr>
              <w:pStyle w:val="2"/>
              <w:rPr>
                <w:rFonts w:hint="eastAsia"/>
                <w:lang w:eastAsia="zh-CN"/>
              </w:rPr>
            </w:pPr>
          </w:p>
          <w:p>
            <w:pPr>
              <w:pStyle w:val="3"/>
              <w:rPr>
                <w:rFonts w:hint="eastAsia"/>
                <w:lang w:eastAsia="zh-CN"/>
              </w:rPr>
            </w:pPr>
          </w:p>
          <w:p>
            <w:pPr>
              <w:pStyle w:val="2"/>
              <w:rPr>
                <w:rFonts w:hint="eastAsia"/>
                <w:lang w:eastAsia="zh-CN"/>
              </w:rPr>
            </w:pPr>
          </w:p>
          <w:p>
            <w:pPr>
              <w:pStyle w:val="3"/>
              <w:rPr>
                <w:rFonts w:hint="eastAsia"/>
                <w:lang w:eastAsia="zh-CN"/>
              </w:rPr>
            </w:pPr>
          </w:p>
          <w:p>
            <w:pPr>
              <w:pStyle w:val="5"/>
              <w:rPr>
                <w:rFonts w:hint="eastAsia"/>
                <w:lang w:eastAsia="zh-CN"/>
              </w:rPr>
            </w:pPr>
          </w:p>
          <w:p>
            <w:pPr>
              <w:rPr>
                <w:rFonts w:hint="eastAsia"/>
                <w:lang w:eastAsia="zh-CN"/>
              </w:rPr>
            </w:pPr>
          </w:p>
          <w:p>
            <w:pPr>
              <w:pStyle w:val="2"/>
              <w:rPr>
                <w:rFonts w:hint="eastAsia"/>
                <w:lang w:eastAsia="zh-CN"/>
              </w:rPr>
            </w:pPr>
            <w:r>
              <w:rPr>
                <w:rFonts w:hint="eastAsia"/>
                <w:lang w:eastAsia="zh-CN"/>
              </w:rPr>
              <w:drawing>
                <wp:anchor distT="0" distB="0" distL="114300" distR="114300" simplePos="0" relativeHeight="252333056" behindDoc="0" locked="0" layoutInCell="1" allowOverlap="1">
                  <wp:simplePos x="0" y="0"/>
                  <wp:positionH relativeFrom="column">
                    <wp:posOffset>2895600</wp:posOffset>
                  </wp:positionH>
                  <wp:positionV relativeFrom="paragraph">
                    <wp:posOffset>227965</wp:posOffset>
                  </wp:positionV>
                  <wp:extent cx="1874520" cy="2499360"/>
                  <wp:effectExtent l="0" t="0" r="5080" b="2540"/>
                  <wp:wrapNone/>
                  <wp:docPr id="13" name="图片 13" descr="6a9e38abd60899bb450ba2dbdc1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a9e38abd60899bb450ba2dbdc11258"/>
                          <pic:cNvPicPr>
                            <a:picLocks noChangeAspect="1"/>
                          </pic:cNvPicPr>
                        </pic:nvPicPr>
                        <pic:blipFill>
                          <a:blip r:embed="rId6"/>
                          <a:stretch>
                            <a:fillRect/>
                          </a:stretch>
                        </pic:blipFill>
                        <pic:spPr>
                          <a:xfrm>
                            <a:off x="0" y="0"/>
                            <a:ext cx="1874520" cy="2499360"/>
                          </a:xfrm>
                          <a:prstGeom prst="rect">
                            <a:avLst/>
                          </a:prstGeom>
                        </pic:spPr>
                      </pic:pic>
                    </a:graphicData>
                  </a:graphic>
                </wp:anchor>
              </w:drawing>
            </w:r>
            <w:r>
              <w:rPr>
                <w:rFonts w:hint="eastAsia"/>
                <w:lang w:eastAsia="zh-CN"/>
              </w:rPr>
              <w:drawing>
                <wp:anchor distT="0" distB="0" distL="114300" distR="114300" simplePos="0" relativeHeight="252332032" behindDoc="0" locked="0" layoutInCell="1" allowOverlap="1">
                  <wp:simplePos x="0" y="0"/>
                  <wp:positionH relativeFrom="column">
                    <wp:posOffset>455295</wp:posOffset>
                  </wp:positionH>
                  <wp:positionV relativeFrom="paragraph">
                    <wp:posOffset>118745</wp:posOffset>
                  </wp:positionV>
                  <wp:extent cx="1873250" cy="2498090"/>
                  <wp:effectExtent l="0" t="0" r="6350" b="3810"/>
                  <wp:wrapNone/>
                  <wp:docPr id="12" name="图片 12" descr="a0f0fe9a35859b42aa5a2c7966f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0f0fe9a35859b42aa5a2c7966f8059"/>
                          <pic:cNvPicPr>
                            <a:picLocks noChangeAspect="1"/>
                          </pic:cNvPicPr>
                        </pic:nvPicPr>
                        <pic:blipFill>
                          <a:blip r:embed="rId7"/>
                          <a:stretch>
                            <a:fillRect/>
                          </a:stretch>
                        </pic:blipFill>
                        <pic:spPr>
                          <a:xfrm>
                            <a:off x="0" y="0"/>
                            <a:ext cx="1873250" cy="2498090"/>
                          </a:xfrm>
                          <a:prstGeom prst="rect">
                            <a:avLst/>
                          </a:prstGeom>
                        </pic:spPr>
                      </pic:pic>
                    </a:graphicData>
                  </a:graphic>
                </wp:anchor>
              </w:drawing>
            </w:r>
          </w:p>
          <w:p>
            <w:pPr>
              <w:pStyle w:val="3"/>
              <w:rPr>
                <w:rFonts w:hint="eastAsia"/>
                <w:lang w:eastAsia="zh-CN"/>
              </w:rPr>
            </w:pPr>
          </w:p>
          <w:p>
            <w:pPr>
              <w:pStyle w:val="5"/>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p>
            <w:pPr>
              <w:pStyle w:val="5"/>
              <w:rPr>
                <w:rFonts w:hint="eastAsia"/>
                <w:lang w:eastAsia="zh-CN"/>
              </w:rPr>
            </w:pPr>
          </w:p>
          <w:p>
            <w:pPr>
              <w:rPr>
                <w:rFonts w:hint="eastAsia"/>
                <w:lang w:eastAsia="zh-CN"/>
              </w:rPr>
            </w:pPr>
          </w:p>
          <w:p>
            <w:pPr>
              <w:pStyle w:val="2"/>
              <w:rPr>
                <w:rFonts w:hint="eastAsia"/>
                <w:lang w:eastAsia="zh-CN"/>
              </w:rPr>
            </w:pPr>
          </w:p>
          <w:p>
            <w:pPr>
              <w:pStyle w:val="3"/>
              <w:rPr>
                <w:rFonts w:hint="eastAsia"/>
                <w:lang w:eastAsia="zh-CN"/>
              </w:rPr>
            </w:pPr>
          </w:p>
          <w:p>
            <w:pPr>
              <w:pStyle w:val="5"/>
              <w:rPr>
                <w:rFonts w:hint="eastAsia"/>
                <w:lang w:eastAsia="zh-CN"/>
              </w:rPr>
            </w:pPr>
          </w:p>
          <w:p>
            <w:pPr>
              <w:rPr>
                <w:rFonts w:hint="eastAsia"/>
                <w:lang w:eastAsia="zh-CN"/>
              </w:rPr>
            </w:pPr>
          </w:p>
          <w:p>
            <w:pPr>
              <w:spacing w:line="400" w:lineRule="atLeast"/>
              <w:ind w:firstLine="420" w:firstLineChars="200"/>
              <w:rPr>
                <w:rFonts w:hint="eastAsia"/>
                <w:lang w:val="en-US" w:eastAsia="zh-CN"/>
              </w:rPr>
            </w:pPr>
            <w:r>
              <w:rPr>
                <w:rFonts w:hint="eastAsia"/>
              </w:rPr>
              <w:t>现场查看，火灾伤害预防管理基本符合要求。</w:t>
            </w:r>
          </w:p>
        </w:tc>
        <w:tc>
          <w:tcPr>
            <w:tcW w:w="1585" w:type="dxa"/>
          </w:tcPr>
          <w:p/>
          <w:p>
            <w:pPr>
              <w:pStyle w:val="2"/>
            </w:pPr>
          </w:p>
          <w:p>
            <w:pPr>
              <w:pStyle w:val="3"/>
              <w:rPr>
                <w:rFonts w:hint="eastAsia" w:eastAsia="黑体"/>
                <w:lang w:val="en-US" w:eastAsia="zh-CN"/>
              </w:rPr>
            </w:pPr>
            <w:r>
              <w:rPr>
                <w:rFonts w:hint="eastAsia"/>
                <w:lang w:val="en-US" w:eastAsia="zh-CN"/>
              </w:rPr>
              <w:t>Y</w:t>
            </w:r>
          </w:p>
          <w:p>
            <w:pPr>
              <w:pStyle w:val="5"/>
            </w:pPr>
          </w:p>
          <w:p/>
          <w:p>
            <w:pPr>
              <w:pStyle w:val="2"/>
            </w:pPr>
          </w:p>
          <w:p>
            <w:pPr>
              <w:pStyle w:val="3"/>
            </w:pPr>
          </w:p>
          <w:p>
            <w:pPr>
              <w:pStyle w:val="5"/>
            </w:pPr>
          </w:p>
          <w:p/>
          <w:p>
            <w:pPr>
              <w:pStyle w:val="2"/>
            </w:pPr>
          </w:p>
          <w:p>
            <w:pPr>
              <w:pStyle w:val="3"/>
            </w:pPr>
          </w:p>
          <w:p>
            <w:pPr>
              <w:pStyle w:val="5"/>
            </w:pPr>
          </w:p>
          <w:p/>
          <w:p>
            <w:pPr>
              <w:pStyle w:val="2"/>
            </w:pPr>
          </w:p>
          <w:p>
            <w:pPr>
              <w:pStyle w:val="3"/>
            </w:pPr>
          </w:p>
          <w:p>
            <w:pPr>
              <w:pStyle w:val="5"/>
            </w:pPr>
          </w:p>
          <w:p/>
          <w:p>
            <w:pPr>
              <w:pStyle w:val="2"/>
            </w:pPr>
          </w:p>
          <w:p>
            <w:pPr>
              <w:pStyle w:val="3"/>
            </w:pPr>
          </w:p>
          <w:p>
            <w:pPr>
              <w:pStyle w:val="5"/>
            </w:pPr>
          </w:p>
          <w:p/>
          <w:p>
            <w:pPr>
              <w:pStyle w:val="2"/>
            </w:pPr>
          </w:p>
          <w:p>
            <w:pPr>
              <w:pStyle w:val="3"/>
            </w:pPr>
          </w:p>
          <w:p>
            <w:pPr>
              <w:pStyle w:val="5"/>
            </w:pPr>
          </w:p>
          <w:p/>
          <w:p>
            <w:pPr>
              <w:pStyle w:val="2"/>
            </w:pPr>
          </w:p>
          <w:p>
            <w:pPr>
              <w:pStyle w:val="3"/>
            </w:pPr>
          </w:p>
          <w:p>
            <w:pPr>
              <w:pStyle w:val="5"/>
            </w:pPr>
          </w:p>
          <w:p/>
          <w:p>
            <w:pPr>
              <w:pStyle w:val="2"/>
            </w:pPr>
          </w:p>
          <w:p>
            <w:pPr>
              <w:pStyle w:val="3"/>
            </w:pPr>
          </w:p>
          <w:p>
            <w:pPr>
              <w:pStyle w:val="5"/>
            </w:pPr>
          </w:p>
          <w:p/>
          <w:p>
            <w:pPr>
              <w:pStyle w:val="2"/>
            </w:pPr>
          </w:p>
          <w:p>
            <w:pPr>
              <w:pStyle w:val="3"/>
            </w:pPr>
          </w:p>
          <w:p>
            <w:pPr>
              <w:pStyle w:val="5"/>
            </w:pPr>
          </w:p>
          <w:p/>
          <w:p>
            <w:pPr>
              <w:pStyle w:val="3"/>
            </w:pPr>
          </w:p>
          <w:p>
            <w:pPr>
              <w:pStyle w:val="5"/>
            </w:pPr>
          </w:p>
          <w:p/>
          <w:p>
            <w:pPr>
              <w:pStyle w:val="2"/>
            </w:pPr>
          </w:p>
          <w:p>
            <w:pPr>
              <w:pStyle w:val="3"/>
            </w:pPr>
          </w:p>
          <w:p>
            <w:pPr>
              <w:pStyle w:val="2"/>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sz w:val="21"/>
                <w:szCs w:val="21"/>
                <w:highlight w:val="none"/>
                <w:lang w:val="en-US" w:eastAsia="zh-CN"/>
              </w:rPr>
              <w:t>应急准备和响应</w:t>
            </w:r>
          </w:p>
        </w:tc>
        <w:tc>
          <w:tcPr>
            <w:tcW w:w="960" w:type="dxa"/>
            <w:vAlign w:val="top"/>
          </w:tcPr>
          <w:p>
            <w:pPr>
              <w:rPr>
                <w:rFonts w:hint="eastAsia" w:asciiTheme="minorEastAsia" w:hAnsiTheme="minorEastAsia" w:eastAsiaTheme="minorEastAsia" w:cstheme="minorEastAsia"/>
                <w:bCs/>
                <w:kern w:val="2"/>
                <w:sz w:val="21"/>
                <w:szCs w:val="21"/>
                <w:highlight w:val="none"/>
                <w:lang w:val="en-US" w:eastAsia="zh-CN" w:bidi="ar-SA"/>
              </w:rPr>
            </w:pPr>
            <w:r>
              <w:rPr>
                <w:rFonts w:hint="eastAsia" w:asciiTheme="minorEastAsia" w:hAnsiTheme="minorEastAsia" w:eastAsiaTheme="minorEastAsia" w:cstheme="minorEastAsia"/>
                <w:sz w:val="21"/>
                <w:szCs w:val="21"/>
                <w:highlight w:val="none"/>
                <w:lang w:val="en-US" w:eastAsia="zh-CN"/>
              </w:rPr>
              <w:t>EO8.2</w:t>
            </w:r>
          </w:p>
        </w:tc>
        <w:tc>
          <w:tcPr>
            <w:tcW w:w="10004" w:type="dxa"/>
            <w:vAlign w:val="top"/>
          </w:tcPr>
          <w:p>
            <w:pPr>
              <w:rPr>
                <w:rFonts w:hint="eastAsia"/>
                <w:lang w:val="en-US" w:eastAsia="zh-CN"/>
              </w:rPr>
            </w:pPr>
            <w:r>
              <w:rPr>
                <w:rFonts w:hint="eastAsia"/>
                <w:lang w:val="en-US" w:eastAsia="zh-CN"/>
              </w:rPr>
              <w:t>编制了</w:t>
            </w:r>
            <w:r>
              <w:rPr>
                <w:rFonts w:hint="eastAsia"/>
              </w:rPr>
              <w:t>应急准备和响应控制</w:t>
            </w:r>
            <w:r>
              <w:rPr>
                <w:rFonts w:hint="eastAsia"/>
                <w:lang w:val="en-US" w:eastAsia="zh-CN"/>
              </w:rPr>
              <w:t>程序，</w:t>
            </w:r>
          </w:p>
          <w:p>
            <w:pPr>
              <w:jc w:val="left"/>
              <w:rPr>
                <w:rFonts w:hint="eastAsia"/>
                <w:lang w:val="en-US" w:eastAsia="zh-CN"/>
              </w:rPr>
            </w:pPr>
            <w:r>
              <w:rPr>
                <w:rFonts w:hint="eastAsia"/>
                <w:lang w:val="en-US" w:eastAsia="zh-CN"/>
              </w:rPr>
              <w:t>提供火灾应急事故预案；触电事故应急等，预案包括：应急目的、内容职责、应急响应流程等。</w:t>
            </w:r>
          </w:p>
          <w:p>
            <w:pPr>
              <w:rPr>
                <w:rFonts w:hint="eastAsia"/>
                <w:lang w:val="en-US" w:eastAsia="zh-CN"/>
              </w:rPr>
            </w:pPr>
            <w:r>
              <w:rPr>
                <w:rFonts w:hint="eastAsia"/>
                <w:lang w:val="en-US" w:eastAsia="zh-CN"/>
              </w:rPr>
              <w:t>抽查：</w:t>
            </w:r>
          </w:p>
          <w:p>
            <w:pPr>
              <w:rPr>
                <w:rFonts w:hint="eastAsia"/>
                <w:lang w:val="en-US" w:eastAsia="zh-CN"/>
              </w:rPr>
            </w:pPr>
            <w:r>
              <w:rPr>
                <w:rFonts w:hint="eastAsia"/>
                <w:lang w:val="en-US" w:eastAsia="zh-CN"/>
              </w:rPr>
              <w:t>应急演练（火灾）记录，演练时间</w:t>
            </w:r>
            <w:r>
              <w:rPr>
                <w:rFonts w:hint="eastAsia" w:ascii="Times New Roman" w:hAnsi="Times New Roman" w:eastAsia="宋体" w:cs="Times New Roman"/>
                <w:szCs w:val="22"/>
              </w:rPr>
              <w:t>2020年9月19日下午3点</w:t>
            </w:r>
            <w:r>
              <w:rPr>
                <w:rFonts w:hint="eastAsia"/>
                <w:lang w:val="en-US" w:eastAsia="zh-CN"/>
              </w:rPr>
              <w:t>，指挥人员：刘晓，</w:t>
            </w:r>
          </w:p>
          <w:p>
            <w:pPr>
              <w:rPr>
                <w:rFonts w:hint="eastAsia"/>
                <w:lang w:val="en-US" w:eastAsia="zh-CN"/>
              </w:rPr>
            </w:pPr>
            <w:r>
              <w:rPr>
                <w:rFonts w:hint="eastAsia"/>
                <w:lang w:val="en-US" w:eastAsia="zh-CN"/>
              </w:rPr>
              <w:t>参加人员：综合部、技术部、市场部共计15人</w:t>
            </w:r>
          </w:p>
          <w:p>
            <w:pPr>
              <w:rPr>
                <w:rFonts w:hint="eastAsia"/>
                <w:lang w:val="en-US" w:eastAsia="zh-CN"/>
              </w:rPr>
            </w:pPr>
            <w:r>
              <w:rPr>
                <w:rFonts w:hint="eastAsia"/>
                <w:lang w:val="en-US" w:eastAsia="zh-CN"/>
              </w:rPr>
              <w:t>消防器材：灭火器6瓶、消防水带3卷、斧头1把、枪头2个、三分头1个、扳手、消防服装（2套）、水鞋2双，</w:t>
            </w:r>
          </w:p>
          <w:p>
            <w:pPr>
              <w:rPr>
                <w:rFonts w:hint="eastAsia"/>
                <w:lang w:val="en-US" w:eastAsia="zh-CN"/>
              </w:rPr>
            </w:pPr>
            <w:r>
              <w:rPr>
                <w:rFonts w:hint="eastAsia"/>
                <w:lang w:val="en-US" w:eastAsia="zh-CN"/>
              </w:rPr>
              <w:t>有演习情况记录和</w:t>
            </w:r>
            <w:r>
              <w:rPr>
                <w:rFonts w:hint="eastAsia" w:ascii="Times New Roman" w:hAnsi="Times New Roman" w:cs="Times New Roman"/>
                <w:szCs w:val="22"/>
                <w:lang w:val="en-US" w:eastAsia="zh-CN"/>
              </w:rPr>
              <w:t>总结，并对演练预案进行了评估，满足应急预案。</w:t>
            </w:r>
          </w:p>
          <w:p>
            <w:pPr>
              <w:pStyle w:val="25"/>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eastAsia="宋体" w:cs="Times New Roman"/>
                <w:bCs w:val="0"/>
                <w:spacing w:val="0"/>
                <w:kern w:val="2"/>
                <w:sz w:val="21"/>
                <w:szCs w:val="22"/>
                <w:lang w:val="en-US" w:eastAsia="zh-CN" w:bidi="ar-SA"/>
              </w:rPr>
              <w:t>另查：</w:t>
            </w:r>
            <w:r>
              <w:rPr>
                <w:rFonts w:hint="eastAsia" w:ascii="Times New Roman" w:hAnsi="Times New Roman" w:eastAsia="宋体" w:cs="Times New Roman"/>
                <w:szCs w:val="22"/>
              </w:rPr>
              <w:t>2020年9月1</w:t>
            </w:r>
            <w:r>
              <w:rPr>
                <w:rFonts w:hint="eastAsia" w:ascii="Times New Roman" w:hAnsi="Times New Roman" w:eastAsia="宋体" w:cs="Times New Roman"/>
                <w:szCs w:val="22"/>
                <w:lang w:val="en-US" w:eastAsia="zh-CN"/>
              </w:rPr>
              <w:t>8</w:t>
            </w:r>
            <w:r>
              <w:rPr>
                <w:rFonts w:hint="eastAsia" w:ascii="Times New Roman" w:hAnsi="Times New Roman" w:eastAsia="宋体" w:cs="Times New Roman"/>
                <w:szCs w:val="22"/>
              </w:rPr>
              <w:t>日</w:t>
            </w:r>
            <w:r>
              <w:rPr>
                <w:rFonts w:hint="eastAsia" w:ascii="Times New Roman" w:hAnsi="Times New Roman" w:eastAsia="宋体" w:cs="Times New Roman"/>
                <w:bCs w:val="0"/>
                <w:spacing w:val="0"/>
                <w:kern w:val="2"/>
                <w:sz w:val="21"/>
                <w:szCs w:val="22"/>
                <w:lang w:val="en-US" w:eastAsia="zh-CN" w:bidi="ar-SA"/>
              </w:rPr>
              <w:t>触电应急</w:t>
            </w:r>
            <w:r>
              <w:rPr>
                <w:rFonts w:hint="eastAsia" w:ascii="Times New Roman" w:hAnsi="Times New Roman" w:cs="Times New Roman"/>
                <w:bCs w:val="0"/>
                <w:spacing w:val="0"/>
                <w:kern w:val="2"/>
                <w:sz w:val="21"/>
                <w:szCs w:val="22"/>
                <w:lang w:val="en-US" w:eastAsia="zh-CN" w:bidi="ar-SA"/>
              </w:rPr>
              <w:t>演练</w:t>
            </w:r>
            <w:r>
              <w:rPr>
                <w:rFonts w:hint="eastAsia" w:ascii="Times New Roman" w:hAnsi="Times New Roman" w:eastAsia="宋体" w:cs="Times New Roman"/>
                <w:bCs w:val="0"/>
                <w:spacing w:val="0"/>
                <w:kern w:val="2"/>
                <w:sz w:val="21"/>
                <w:szCs w:val="22"/>
                <w:lang w:val="en-US" w:eastAsia="zh-CN" w:bidi="ar-SA"/>
              </w:rPr>
              <w:t>，</w:t>
            </w:r>
            <w:r>
              <w:rPr>
                <w:rFonts w:hint="eastAsia"/>
                <w:lang w:val="en-US" w:eastAsia="zh-CN"/>
              </w:rPr>
              <w:t>指挥人员：刘晓</w:t>
            </w:r>
            <w:r>
              <w:rPr>
                <w:rFonts w:hint="eastAsia" w:ascii="Times New Roman" w:hAnsi="Times New Roman" w:eastAsia="宋体" w:cs="Times New Roman"/>
                <w:bCs w:val="0"/>
                <w:spacing w:val="0"/>
                <w:kern w:val="2"/>
                <w:sz w:val="21"/>
                <w:szCs w:val="22"/>
                <w:lang w:val="en-US" w:eastAsia="zh-CN" w:bidi="ar-SA"/>
              </w:rPr>
              <w:t>，演练</w:t>
            </w:r>
            <w:r>
              <w:rPr>
                <w:rFonts w:hint="eastAsia" w:ascii="Times New Roman" w:hAnsi="Times New Roman" w:cs="Times New Roman"/>
                <w:bCs w:val="0"/>
                <w:spacing w:val="0"/>
                <w:kern w:val="2"/>
                <w:sz w:val="21"/>
                <w:szCs w:val="22"/>
                <w:lang w:val="en-US" w:eastAsia="zh-CN" w:bidi="ar-SA"/>
              </w:rPr>
              <w:t>结论：</w:t>
            </w:r>
            <w:r>
              <w:rPr>
                <w:rFonts w:hint="eastAsia" w:ascii="Times New Roman" w:hAnsi="Times New Roman" w:eastAsia="宋体" w:cs="Times New Roman"/>
                <w:bCs w:val="0"/>
                <w:spacing w:val="0"/>
                <w:kern w:val="2"/>
                <w:sz w:val="21"/>
                <w:szCs w:val="22"/>
                <w:lang w:val="en-US" w:eastAsia="zh-CN" w:bidi="ar-SA"/>
              </w:rPr>
              <w:t>基本达到演练目的。</w:t>
            </w:r>
          </w:p>
          <w:p>
            <w:pPr>
              <w:pStyle w:val="25"/>
              <w:rPr>
                <w:rFonts w:hint="eastAsia" w:ascii="Times New Roman" w:hAnsi="Times New Roman" w:eastAsia="宋体" w:cs="Times New Roman"/>
                <w:bCs w:val="0"/>
                <w:spacing w:val="0"/>
                <w:kern w:val="2"/>
                <w:sz w:val="21"/>
                <w:szCs w:val="22"/>
                <w:lang w:val="en-US" w:eastAsia="zh-CN" w:bidi="ar-SA"/>
              </w:rPr>
            </w:pPr>
            <w:r>
              <w:rPr>
                <w:rFonts w:hint="eastAsia" w:ascii="Times New Roman" w:hAnsi="Times New Roman" w:cs="Times New Roman"/>
                <w:bCs w:val="0"/>
                <w:spacing w:val="0"/>
                <w:kern w:val="2"/>
                <w:sz w:val="21"/>
                <w:szCs w:val="22"/>
                <w:lang w:val="en-US" w:eastAsia="zh-CN" w:bidi="ar-SA"/>
              </w:rPr>
              <w:t>预案评估：</w:t>
            </w:r>
            <w:r>
              <w:rPr>
                <w:rFonts w:hint="eastAsia" w:ascii="Times New Roman" w:hAnsi="Times New Roman" w:eastAsia="宋体" w:cs="Times New Roman"/>
                <w:bCs w:val="0"/>
                <w:spacing w:val="0"/>
                <w:kern w:val="2"/>
                <w:sz w:val="21"/>
                <w:szCs w:val="22"/>
                <w:lang w:val="en-US" w:eastAsia="zh-CN" w:bidi="ar-SA"/>
              </w:rPr>
              <w:t>进一步完善和修改《触电应急救援预案》</w:t>
            </w:r>
            <w:r>
              <w:rPr>
                <w:rFonts w:hint="eastAsia" w:ascii="Times New Roman" w:hAnsi="Times New Roman" w:cs="Times New Roman"/>
                <w:bCs w:val="0"/>
                <w:spacing w:val="0"/>
                <w:kern w:val="2"/>
                <w:sz w:val="21"/>
                <w:szCs w:val="22"/>
                <w:lang w:val="en-US" w:eastAsia="zh-CN" w:bidi="ar-SA"/>
              </w:rPr>
              <w:t>，</w:t>
            </w:r>
            <w:r>
              <w:rPr>
                <w:rFonts w:hint="eastAsia" w:ascii="Times New Roman" w:hAnsi="Times New Roman" w:eastAsia="宋体" w:cs="Times New Roman"/>
                <w:bCs w:val="0"/>
                <w:spacing w:val="0"/>
                <w:kern w:val="2"/>
                <w:sz w:val="21"/>
                <w:szCs w:val="22"/>
                <w:lang w:val="en-US" w:eastAsia="zh-CN" w:bidi="ar-SA"/>
              </w:rPr>
              <w:t>认真抓好员工安全教育培训，开展技能练兵，使施工人员从理论实践中增长安全技能，提高安全意识。加强安全管理力度，建立健全和完善各项规章制度</w:t>
            </w:r>
            <w:r>
              <w:rPr>
                <w:rFonts w:hint="eastAsia" w:ascii="Times New Roman" w:hAnsi="Times New Roman" w:cs="Times New Roman"/>
                <w:bCs w:val="0"/>
                <w:spacing w:val="0"/>
                <w:kern w:val="2"/>
                <w:sz w:val="21"/>
                <w:szCs w:val="22"/>
                <w:lang w:val="en-US" w:eastAsia="zh-CN" w:bidi="ar-SA"/>
              </w:rPr>
              <w:t>。</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adjustRightInd w:val="0"/>
              <w:snapToGrid w:val="0"/>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产品和服务的设计和开发</w:t>
            </w:r>
          </w:p>
        </w:tc>
        <w:tc>
          <w:tcPr>
            <w:tcW w:w="960" w:type="dxa"/>
            <w:vAlign w:val="top"/>
          </w:tcPr>
          <w:p>
            <w:pPr>
              <w:rPr>
                <w:rFonts w:hint="eastAsia" w:ascii="宋体" w:hAnsi="宋体" w:eastAsia="宋体" w:cs="新宋体"/>
                <w:color w:val="auto"/>
                <w:kern w:val="2"/>
                <w:sz w:val="21"/>
                <w:szCs w:val="21"/>
                <w:shd w:val="clear" w:color="auto" w:fill="auto"/>
                <w:lang w:val="en-US" w:eastAsia="zh-CN" w:bidi="ar-SA"/>
              </w:rPr>
            </w:pPr>
            <w:r>
              <w:rPr>
                <w:rFonts w:hint="eastAsia" w:ascii="宋体" w:hAnsi="宋体" w:cs="新宋体"/>
                <w:color w:val="auto"/>
                <w:szCs w:val="21"/>
                <w:shd w:val="clear" w:color="auto" w:fill="auto"/>
              </w:rPr>
              <w:t>8.3</w:t>
            </w:r>
          </w:p>
        </w:tc>
        <w:tc>
          <w:tcPr>
            <w:tcW w:w="10004" w:type="dxa"/>
            <w:vAlign w:val="top"/>
          </w:tcPr>
          <w:p>
            <w:pPr>
              <w:widowControl/>
              <w:jc w:val="left"/>
              <w:rPr>
                <w:rFonts w:hint="default" w:ascii="宋体" w:hAnsi="宋体" w:eastAsia="宋体"/>
                <w:color w:val="auto"/>
                <w:szCs w:val="21"/>
                <w:shd w:val="clear" w:color="auto" w:fill="auto"/>
                <w:lang w:val="en-US" w:eastAsia="zh-CN"/>
              </w:rPr>
            </w:pPr>
            <w:r>
              <w:rPr>
                <w:rFonts w:hint="eastAsia" w:ascii="宋体" w:hAnsi="宋体"/>
                <w:color w:val="auto"/>
                <w:szCs w:val="21"/>
                <w:shd w:val="clear" w:color="auto" w:fill="auto"/>
              </w:rPr>
              <w:t>查，设计过程质量控制，主要是</w:t>
            </w:r>
            <w:r>
              <w:rPr>
                <w:rFonts w:hint="eastAsia" w:ascii="宋体" w:hAnsi="宋体"/>
                <w:color w:val="auto"/>
                <w:szCs w:val="21"/>
                <w:shd w:val="clear" w:color="auto" w:fill="auto"/>
                <w:lang w:val="en-US" w:eastAsia="zh-CN"/>
              </w:rPr>
              <w:t>油田钻采技术开发</w:t>
            </w:r>
            <w:r>
              <w:rPr>
                <w:rFonts w:hint="eastAsia" w:ascii="宋体" w:hAnsi="宋体"/>
                <w:color w:val="auto"/>
                <w:szCs w:val="21"/>
                <w:shd w:val="clear" w:color="auto" w:fill="auto"/>
              </w:rPr>
              <w:t>。</w:t>
            </w:r>
            <w:r>
              <w:rPr>
                <w:rFonts w:hint="eastAsia" w:ascii="宋体" w:hAnsi="宋体"/>
                <w:color w:val="auto"/>
                <w:szCs w:val="21"/>
                <w:shd w:val="clear" w:color="auto" w:fill="auto"/>
                <w:lang w:val="en-US" w:eastAsia="zh-CN"/>
              </w:rPr>
              <w:t>与甲方克拉玛依胜利髙原机械有限公司签订的《单井压裂工程设计服务》合同，主要设计过程如下：</w:t>
            </w:r>
          </w:p>
          <w:p>
            <w:pPr>
              <w:adjustRightInd w:val="0"/>
              <w:snapToGrid w:val="0"/>
              <w:spacing w:line="400" w:lineRule="exact"/>
              <w:ind w:firstLine="420" w:firstLineChars="200"/>
              <w:rPr>
                <w:rFonts w:hint="eastAsia"/>
                <w:color w:val="auto"/>
                <w:lang w:val="en-US" w:eastAsia="zh-CN"/>
              </w:rPr>
            </w:pPr>
            <w:r>
              <w:rPr>
                <w:rFonts w:hint="eastAsia" w:ascii="宋体" w:hAnsi="宋体"/>
                <w:color w:val="auto"/>
                <w:szCs w:val="21"/>
                <w:shd w:val="clear" w:color="auto" w:fill="auto"/>
              </w:rPr>
              <w:t>查，</w:t>
            </w:r>
            <w:r>
              <w:rPr>
                <w:rFonts w:hint="eastAsia" w:ascii="宋体" w:hAnsi="宋体"/>
                <w:color w:val="auto"/>
                <w:szCs w:val="21"/>
                <w:shd w:val="clear" w:color="auto" w:fill="auto"/>
                <w:lang w:eastAsia="zh-CN"/>
              </w:rPr>
              <w:t>《</w:t>
            </w:r>
            <w:r>
              <w:rPr>
                <w:rFonts w:hint="eastAsia" w:ascii="宋体" w:hAnsi="宋体"/>
                <w:color w:val="auto"/>
                <w:szCs w:val="21"/>
                <w:shd w:val="clear" w:color="auto" w:fill="auto"/>
                <w:lang w:val="en-US" w:eastAsia="zh-CN"/>
              </w:rPr>
              <w:t>设计开发策划</w:t>
            </w:r>
            <w:r>
              <w:rPr>
                <w:rFonts w:hint="eastAsia" w:ascii="宋体" w:hAnsi="宋体"/>
                <w:color w:val="auto"/>
                <w:szCs w:val="21"/>
                <w:shd w:val="clear" w:color="auto" w:fill="auto"/>
                <w:lang w:eastAsia="zh-CN"/>
              </w:rPr>
              <w:t>》</w:t>
            </w:r>
            <w:r>
              <w:rPr>
                <w:rFonts w:hint="eastAsia" w:ascii="宋体" w:hAnsi="宋体"/>
                <w:color w:val="auto"/>
                <w:szCs w:val="21"/>
                <w:shd w:val="clear" w:color="auto" w:fill="auto"/>
              </w:rPr>
              <w:t>：</w:t>
            </w:r>
            <w:r>
              <w:rPr>
                <w:rFonts w:hint="eastAsia" w:ascii="宋体" w:hAnsi="宋体"/>
                <w:color w:val="auto"/>
                <w:szCs w:val="21"/>
                <w:shd w:val="clear" w:color="auto" w:fill="auto"/>
                <w:lang w:val="en-US" w:eastAsia="zh-CN"/>
              </w:rPr>
              <w:t>对设计开发过程的</w:t>
            </w:r>
            <w:r>
              <w:rPr>
                <w:rFonts w:hint="eastAsia"/>
                <w:color w:val="auto"/>
              </w:rPr>
              <w:t>进度、阶段、人员安排</w:t>
            </w:r>
            <w:r>
              <w:rPr>
                <w:rFonts w:hint="eastAsia"/>
                <w:color w:val="auto"/>
                <w:lang w:val="en-US" w:eastAsia="zh-CN"/>
              </w:rPr>
              <w:t>进行了策划：</w:t>
            </w: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047"/>
              <w:gridCol w:w="922"/>
              <w:gridCol w:w="1441"/>
              <w:gridCol w:w="680"/>
              <w:gridCol w:w="835"/>
              <w:gridCol w:w="212"/>
              <w:gridCol w:w="16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5222" w:type="dxa"/>
                  <w:gridSpan w:val="4"/>
                  <w:noWrap w:val="0"/>
                  <w:vAlign w:val="top"/>
                </w:tcPr>
                <w:p>
                  <w:pPr>
                    <w:spacing w:line="360" w:lineRule="auto"/>
                    <w:jc w:val="center"/>
                    <w:rPr>
                      <w:rFonts w:hint="eastAsia" w:ascii="宋体" w:hAnsi="宋体"/>
                      <w:color w:val="auto"/>
                      <w:sz w:val="21"/>
                      <w:szCs w:val="21"/>
                    </w:rPr>
                  </w:pPr>
                  <w:r>
                    <w:rPr>
                      <w:rFonts w:hint="eastAsia"/>
                      <w:color w:val="auto"/>
                      <w:sz w:val="21"/>
                      <w:szCs w:val="21"/>
                      <w:lang w:val="en-US" w:eastAsia="zh-CN"/>
                    </w:rPr>
                    <w:t>HW83003井分段加砂压裂概念设计</w:t>
                  </w:r>
                </w:p>
              </w:tc>
              <w:tc>
                <w:tcPr>
                  <w:tcW w:w="1727" w:type="dxa"/>
                  <w:gridSpan w:val="3"/>
                  <w:noWrap w:val="0"/>
                  <w:vAlign w:val="center"/>
                </w:tcPr>
                <w:p>
                  <w:pPr>
                    <w:spacing w:line="360" w:lineRule="auto"/>
                    <w:jc w:val="center"/>
                    <w:rPr>
                      <w:rFonts w:hint="eastAsia"/>
                      <w:color w:val="auto"/>
                      <w:sz w:val="21"/>
                      <w:szCs w:val="21"/>
                    </w:rPr>
                  </w:pPr>
                  <w:r>
                    <w:rPr>
                      <w:rFonts w:hint="eastAsia"/>
                      <w:color w:val="auto"/>
                      <w:sz w:val="21"/>
                      <w:szCs w:val="21"/>
                    </w:rPr>
                    <w:t>共   1  页</w:t>
                  </w:r>
                </w:p>
              </w:tc>
              <w:tc>
                <w:tcPr>
                  <w:tcW w:w="1630" w:type="dxa"/>
                  <w:noWrap w:val="0"/>
                  <w:vAlign w:val="center"/>
                </w:tcPr>
                <w:p>
                  <w:pPr>
                    <w:spacing w:line="360" w:lineRule="auto"/>
                    <w:jc w:val="center"/>
                    <w:rPr>
                      <w:rFonts w:hint="eastAsia"/>
                      <w:color w:val="auto"/>
                      <w:sz w:val="21"/>
                      <w:szCs w:val="21"/>
                    </w:rPr>
                  </w:pPr>
                  <w:r>
                    <w:rPr>
                      <w:rFonts w:hint="eastAsia"/>
                      <w:color w:val="auto"/>
                      <w:sz w:val="21"/>
                      <w:szCs w:val="21"/>
                    </w:rPr>
                    <w:t>第   1  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79" w:type="dxa"/>
                  <w:gridSpan w:val="8"/>
                  <w:noWrap w:val="0"/>
                  <w:vAlign w:val="top"/>
                </w:tcPr>
                <w:p>
                  <w:pPr>
                    <w:rPr>
                      <w:rFonts w:hint="eastAsia"/>
                      <w:color w:val="auto"/>
                      <w:sz w:val="21"/>
                      <w:szCs w:val="21"/>
                    </w:rPr>
                  </w:pPr>
                  <w:r>
                    <w:rPr>
                      <w:rFonts w:hint="eastAsia"/>
                      <w:color w:val="auto"/>
                      <w:sz w:val="21"/>
                      <w:szCs w:val="21"/>
                    </w:rPr>
                    <w:t>一、设计依据</w:t>
                  </w:r>
                  <w:r>
                    <w:rPr>
                      <w:rFonts w:hint="eastAsia"/>
                      <w:color w:val="auto"/>
                      <w:sz w:val="21"/>
                      <w:szCs w:val="21"/>
                      <w:lang w:eastAsia="zh-CN"/>
                    </w:rPr>
                    <w:t>：</w:t>
                  </w:r>
                  <w:r>
                    <w:rPr>
                      <w:rFonts w:hint="eastAsia"/>
                      <w:color w:val="auto"/>
                      <w:sz w:val="21"/>
                      <w:szCs w:val="21"/>
                      <w:lang w:val="en-US" w:eastAsia="zh-CN"/>
                    </w:rPr>
                    <w:t>根据甲方克拉玛依胜利髙原机械有限公司的需要，进行准噶尔盆地克拉玛依油田八区水平井（导眼井）分段加砂压裂概念设计</w:t>
                  </w: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579" w:type="dxa"/>
                  <w:gridSpan w:val="8"/>
                  <w:noWrap w:val="0"/>
                  <w:vAlign w:val="top"/>
                </w:tcPr>
                <w:p>
                  <w:pPr>
                    <w:rPr>
                      <w:rFonts w:hint="eastAsia" w:ascii="宋体" w:hAnsi="宋体"/>
                      <w:color w:val="auto"/>
                      <w:sz w:val="21"/>
                      <w:szCs w:val="21"/>
                    </w:rPr>
                  </w:pPr>
                  <w:r>
                    <w:rPr>
                      <w:rFonts w:hint="eastAsia"/>
                      <w:color w:val="auto"/>
                      <w:sz w:val="21"/>
                      <w:szCs w:val="21"/>
                    </w:rPr>
                    <w:t>二、项目的用途和使用范</w:t>
                  </w:r>
                  <w:r>
                    <w:rPr>
                      <w:rFonts w:hint="eastAsia" w:ascii="Times New Roman" w:hAnsi="Times New Roman" w:eastAsia="宋体" w:cs="Times New Roman"/>
                      <w:color w:val="auto"/>
                      <w:sz w:val="21"/>
                      <w:szCs w:val="21"/>
                    </w:rPr>
                    <w:t>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根据部署区储层特征，经由“四参数五区域”图版评价，综合判断八区下乌尔禾组储层体积压裂需求程度中等，现有技术条件下储层形成复杂缝网的可能性中等。因此，增大裂缝与储层接触面积，实现体积压裂，从而降低渗流阻力，提高单井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79" w:type="dxa"/>
                  <w:gridSpan w:val="8"/>
                  <w:noWrap w:val="0"/>
                  <w:vAlign w:val="top"/>
                </w:tcPr>
                <w:p>
                  <w:pPr>
                    <w:spacing w:line="360" w:lineRule="auto"/>
                    <w:jc w:val="left"/>
                    <w:rPr>
                      <w:rFonts w:hint="eastAsia"/>
                      <w:color w:val="auto"/>
                      <w:sz w:val="21"/>
                      <w:szCs w:val="21"/>
                    </w:rPr>
                  </w:pPr>
                  <w:r>
                    <w:rPr>
                      <w:rFonts w:hint="eastAsia"/>
                      <w:color w:val="auto"/>
                      <w:sz w:val="21"/>
                      <w:szCs w:val="21"/>
                    </w:rPr>
                    <w:t>三、基本说明</w:t>
                  </w:r>
                  <w:r>
                    <w:rPr>
                      <w:rFonts w:hint="eastAsia" w:ascii="Times New Roman" w:hAnsi="Times New Roman" w:eastAsia="宋体" w:cs="Times New Roman"/>
                      <w:color w:val="auto"/>
                      <w:sz w:val="21"/>
                      <w:szCs w:val="21"/>
                    </w:rPr>
                    <w:t>或要求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该井选择采用连续油管带底封拖动水力喷砂射孔分段压裂工艺，以实现细分切割和缝高的控制。该技术的特点是：一趟管柱工具完成定位、封隔、射孔、压裂任务。级间转换速度快；压后工具起出井筒后全通径；处理砂堵能力强；单级单簇，实现精准压裂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579" w:type="dxa"/>
                  <w:gridSpan w:val="8"/>
                  <w:noWrap w:val="0"/>
                  <w:vAlign w:val="top"/>
                </w:tcPr>
                <w:p>
                  <w:pPr>
                    <w:rPr>
                      <w:rFonts w:hint="eastAsia"/>
                      <w:color w:val="auto"/>
                      <w:sz w:val="21"/>
                      <w:szCs w:val="21"/>
                    </w:rPr>
                  </w:pPr>
                  <w:r>
                    <w:rPr>
                      <w:rFonts w:hint="eastAsia"/>
                      <w:color w:val="auto"/>
                      <w:sz w:val="21"/>
                      <w:szCs w:val="21"/>
                      <w:lang w:val="en-US" w:eastAsia="zh-CN"/>
                    </w:rPr>
                    <w:t>四</w:t>
                  </w:r>
                  <w:r>
                    <w:rPr>
                      <w:rFonts w:hint="eastAsia"/>
                      <w:color w:val="auto"/>
                      <w:sz w:val="21"/>
                      <w:szCs w:val="21"/>
                    </w:rPr>
                    <w:t xml:space="preserve"> 、进度、阶段、人员安排</w:t>
                  </w:r>
                </w:p>
                <w:tbl>
                  <w:tblPr>
                    <w:tblStyle w:val="15"/>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3673"/>
                    <w:gridCol w:w="2587"/>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 w:type="dxa"/>
                        <w:noWrap w:val="0"/>
                        <w:vAlign w:val="center"/>
                      </w:tcPr>
                      <w:p>
                        <w:pPr>
                          <w:rPr>
                            <w:rFonts w:hint="eastAsia" w:ascii="宋体" w:hAnsi="宋体"/>
                            <w:color w:val="auto"/>
                            <w:sz w:val="21"/>
                            <w:szCs w:val="21"/>
                          </w:rPr>
                        </w:pPr>
                        <w:r>
                          <w:rPr>
                            <w:rFonts w:hint="eastAsia" w:ascii="宋体" w:hAnsi="宋体"/>
                            <w:color w:val="auto"/>
                            <w:sz w:val="21"/>
                            <w:szCs w:val="21"/>
                          </w:rPr>
                          <w:t>No</w:t>
                        </w:r>
                      </w:p>
                    </w:tc>
                    <w:tc>
                      <w:tcPr>
                        <w:tcW w:w="3673" w:type="dxa"/>
                        <w:noWrap w:val="0"/>
                        <w:vAlign w:val="center"/>
                      </w:tcPr>
                      <w:p>
                        <w:pPr>
                          <w:rPr>
                            <w:rFonts w:hint="eastAsia" w:ascii="宋体" w:hAnsi="宋体"/>
                            <w:color w:val="auto"/>
                            <w:sz w:val="21"/>
                            <w:szCs w:val="21"/>
                          </w:rPr>
                        </w:pPr>
                        <w:r>
                          <w:rPr>
                            <w:rFonts w:hint="eastAsia" w:ascii="宋体" w:hAnsi="宋体"/>
                            <w:color w:val="auto"/>
                            <w:sz w:val="21"/>
                            <w:szCs w:val="21"/>
                          </w:rPr>
                          <w:t>阶段划分</w:t>
                        </w:r>
                      </w:p>
                    </w:tc>
                    <w:tc>
                      <w:tcPr>
                        <w:tcW w:w="2587" w:type="dxa"/>
                        <w:noWrap w:val="0"/>
                        <w:vAlign w:val="center"/>
                      </w:tcPr>
                      <w:p>
                        <w:pPr>
                          <w:rPr>
                            <w:rFonts w:hint="eastAsia" w:ascii="宋体" w:hAnsi="宋体"/>
                            <w:color w:val="auto"/>
                            <w:sz w:val="21"/>
                            <w:szCs w:val="21"/>
                          </w:rPr>
                        </w:pPr>
                        <w:r>
                          <w:rPr>
                            <w:rFonts w:hint="eastAsia" w:ascii="宋体" w:hAnsi="宋体"/>
                            <w:color w:val="auto"/>
                            <w:sz w:val="21"/>
                            <w:szCs w:val="21"/>
                          </w:rPr>
                          <w:t>时间进度</w:t>
                        </w:r>
                      </w:p>
                    </w:tc>
                    <w:tc>
                      <w:tcPr>
                        <w:tcW w:w="2617" w:type="dxa"/>
                        <w:noWrap w:val="0"/>
                        <w:vAlign w:val="center"/>
                      </w:tcPr>
                      <w:p>
                        <w:pPr>
                          <w:rPr>
                            <w:rFonts w:hint="eastAsia" w:ascii="宋体" w:hAnsi="宋体"/>
                            <w:color w:val="auto"/>
                            <w:sz w:val="21"/>
                            <w:szCs w:val="21"/>
                          </w:rPr>
                        </w:pPr>
                        <w:r>
                          <w:rPr>
                            <w:rFonts w:hint="eastAsia" w:ascii="宋体" w:hAnsi="宋体"/>
                            <w:color w:val="auto"/>
                            <w:sz w:val="21"/>
                            <w:szCs w:val="21"/>
                          </w:rPr>
                          <w:t>主负责人员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 w:type="dxa"/>
                        <w:noWrap w:val="0"/>
                        <w:vAlign w:val="center"/>
                      </w:tcPr>
                      <w:p>
                        <w:pPr>
                          <w:rPr>
                            <w:rFonts w:hint="eastAsia" w:ascii="宋体" w:hAnsi="宋体"/>
                            <w:color w:val="auto"/>
                            <w:sz w:val="21"/>
                            <w:szCs w:val="21"/>
                          </w:rPr>
                        </w:pPr>
                      </w:p>
                    </w:tc>
                    <w:tc>
                      <w:tcPr>
                        <w:tcW w:w="3673" w:type="dxa"/>
                        <w:noWrap w:val="0"/>
                        <w:vAlign w:val="center"/>
                      </w:tcPr>
                      <w:p>
                        <w:pPr>
                          <w:spacing w:before="156" w:beforeLines="50"/>
                          <w:jc w:val="left"/>
                          <w:rPr>
                            <w:rFonts w:hint="eastAsia" w:eastAsia="宋体"/>
                            <w:color w:val="auto"/>
                            <w:sz w:val="21"/>
                            <w:szCs w:val="21"/>
                            <w:lang w:eastAsia="zh-CN"/>
                          </w:rPr>
                        </w:pPr>
                        <w:r>
                          <w:rPr>
                            <w:rFonts w:hint="eastAsia"/>
                            <w:color w:val="auto"/>
                            <w:sz w:val="21"/>
                            <w:szCs w:val="21"/>
                            <w:lang w:val="en-US" w:eastAsia="zh-CN"/>
                          </w:rPr>
                          <w:t>策划</w:t>
                        </w:r>
                      </w:p>
                    </w:tc>
                    <w:tc>
                      <w:tcPr>
                        <w:tcW w:w="2587" w:type="dxa"/>
                        <w:noWrap w:val="0"/>
                        <w:vAlign w:val="center"/>
                      </w:tcPr>
                      <w:p>
                        <w:pPr>
                          <w:jc w:val="center"/>
                          <w:rPr>
                            <w:color w:val="auto"/>
                            <w:sz w:val="21"/>
                            <w:szCs w:val="21"/>
                          </w:rPr>
                        </w:pPr>
                        <w:r>
                          <w:rPr>
                            <w:rFonts w:hint="eastAsia"/>
                            <w:color w:val="auto"/>
                            <w:sz w:val="21"/>
                            <w:szCs w:val="21"/>
                            <w:lang w:eastAsia="zh-CN"/>
                          </w:rPr>
                          <w:t>2020.09</w:t>
                        </w:r>
                        <w:r>
                          <w:rPr>
                            <w:color w:val="auto"/>
                            <w:sz w:val="21"/>
                            <w:szCs w:val="21"/>
                          </w:rPr>
                          <w:t>.</w:t>
                        </w:r>
                        <w:r>
                          <w:rPr>
                            <w:rFonts w:hint="eastAsia"/>
                            <w:color w:val="auto"/>
                            <w:sz w:val="21"/>
                            <w:szCs w:val="21"/>
                            <w:lang w:val="en-US" w:eastAsia="zh-CN"/>
                          </w:rPr>
                          <w:t>02</w:t>
                        </w:r>
                      </w:p>
                    </w:tc>
                    <w:tc>
                      <w:tcPr>
                        <w:tcW w:w="2617" w:type="dxa"/>
                        <w:noWrap w:val="0"/>
                        <w:vAlign w:val="top"/>
                      </w:tcPr>
                      <w:p>
                        <w:pPr>
                          <w:spacing w:line="360" w:lineRule="auto"/>
                          <w:rPr>
                            <w:rFonts w:hint="eastAsia" w:eastAsia="宋体"/>
                            <w:color w:val="auto"/>
                            <w:sz w:val="21"/>
                            <w:szCs w:val="21"/>
                            <w:lang w:eastAsia="zh-CN"/>
                          </w:rPr>
                        </w:pPr>
                        <w:r>
                          <w:rPr>
                            <w:rFonts w:hint="eastAsia"/>
                            <w:color w:val="auto"/>
                            <w:sz w:val="21"/>
                            <w:szCs w:val="21"/>
                            <w:lang w:val="en-US" w:eastAsia="zh-CN"/>
                          </w:rPr>
                          <w:t>张学锋、李纲要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 w:type="dxa"/>
                        <w:noWrap w:val="0"/>
                        <w:vAlign w:val="center"/>
                      </w:tcPr>
                      <w:p>
                        <w:pPr>
                          <w:rPr>
                            <w:rFonts w:hint="eastAsia" w:ascii="宋体" w:hAnsi="宋体"/>
                            <w:color w:val="auto"/>
                            <w:sz w:val="21"/>
                            <w:szCs w:val="21"/>
                          </w:rPr>
                        </w:pPr>
                      </w:p>
                    </w:tc>
                    <w:tc>
                      <w:tcPr>
                        <w:tcW w:w="3673" w:type="dxa"/>
                        <w:noWrap w:val="0"/>
                        <w:vAlign w:val="center"/>
                      </w:tcPr>
                      <w:p>
                        <w:pPr>
                          <w:spacing w:before="156" w:beforeLines="50"/>
                          <w:jc w:val="left"/>
                          <w:rPr>
                            <w:rFonts w:hint="default" w:eastAsia="宋体"/>
                            <w:color w:val="auto"/>
                            <w:sz w:val="21"/>
                            <w:szCs w:val="21"/>
                            <w:lang w:val="en-US" w:eastAsia="zh-CN"/>
                          </w:rPr>
                        </w:pPr>
                        <w:r>
                          <w:rPr>
                            <w:rFonts w:hint="eastAsia"/>
                            <w:color w:val="auto"/>
                            <w:sz w:val="21"/>
                            <w:szCs w:val="21"/>
                          </w:rPr>
                          <w:t>设计和开发输入评审</w:t>
                        </w:r>
                      </w:p>
                    </w:tc>
                    <w:tc>
                      <w:tcPr>
                        <w:tcW w:w="2587" w:type="dxa"/>
                        <w:noWrap w:val="0"/>
                        <w:vAlign w:val="center"/>
                      </w:tcPr>
                      <w:p>
                        <w:pPr>
                          <w:jc w:val="center"/>
                          <w:rPr>
                            <w:color w:val="auto"/>
                            <w:sz w:val="21"/>
                            <w:szCs w:val="21"/>
                          </w:rPr>
                        </w:pPr>
                        <w:r>
                          <w:rPr>
                            <w:rFonts w:hint="eastAsia"/>
                            <w:color w:val="auto"/>
                            <w:sz w:val="21"/>
                            <w:szCs w:val="21"/>
                            <w:lang w:eastAsia="zh-CN"/>
                          </w:rPr>
                          <w:t>2020.09</w:t>
                        </w:r>
                        <w:r>
                          <w:rPr>
                            <w:color w:val="auto"/>
                            <w:sz w:val="21"/>
                            <w:szCs w:val="21"/>
                          </w:rPr>
                          <w:t>.20</w:t>
                        </w:r>
                      </w:p>
                    </w:tc>
                    <w:tc>
                      <w:tcPr>
                        <w:tcW w:w="2617" w:type="dxa"/>
                        <w:noWrap w:val="0"/>
                        <w:vAlign w:val="top"/>
                      </w:tcPr>
                      <w:p>
                        <w:pPr>
                          <w:spacing w:line="360" w:lineRule="auto"/>
                          <w:rPr>
                            <w:rFonts w:hint="eastAsia" w:eastAsia="宋体"/>
                            <w:color w:val="auto"/>
                            <w:sz w:val="21"/>
                            <w:szCs w:val="21"/>
                            <w:lang w:eastAsia="zh-CN"/>
                          </w:rPr>
                        </w:pPr>
                        <w:r>
                          <w:rPr>
                            <w:rFonts w:hint="eastAsia"/>
                            <w:color w:val="auto"/>
                            <w:sz w:val="21"/>
                            <w:szCs w:val="21"/>
                            <w:lang w:val="en-US" w:eastAsia="zh-CN"/>
                          </w:rPr>
                          <w:t>张学锋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 w:type="dxa"/>
                        <w:noWrap w:val="0"/>
                        <w:vAlign w:val="center"/>
                      </w:tcPr>
                      <w:p>
                        <w:pPr>
                          <w:rPr>
                            <w:rFonts w:hint="eastAsia" w:ascii="宋体" w:hAnsi="宋体"/>
                            <w:color w:val="auto"/>
                            <w:sz w:val="21"/>
                            <w:szCs w:val="21"/>
                          </w:rPr>
                        </w:pPr>
                      </w:p>
                    </w:tc>
                    <w:tc>
                      <w:tcPr>
                        <w:tcW w:w="3673" w:type="dxa"/>
                        <w:noWrap w:val="0"/>
                        <w:vAlign w:val="center"/>
                      </w:tcPr>
                      <w:p>
                        <w:pPr>
                          <w:spacing w:before="156" w:beforeLines="50"/>
                          <w:jc w:val="left"/>
                          <w:rPr>
                            <w:rFonts w:hint="eastAsia"/>
                            <w:color w:val="auto"/>
                            <w:sz w:val="21"/>
                            <w:szCs w:val="21"/>
                          </w:rPr>
                        </w:pPr>
                        <w:r>
                          <w:rPr>
                            <w:rFonts w:hint="eastAsia"/>
                            <w:color w:val="auto"/>
                            <w:sz w:val="21"/>
                            <w:szCs w:val="21"/>
                            <w:lang w:val="en-US" w:eastAsia="zh-CN"/>
                          </w:rPr>
                          <w:t>初步成果设计</w:t>
                        </w:r>
                      </w:p>
                    </w:tc>
                    <w:tc>
                      <w:tcPr>
                        <w:tcW w:w="2587" w:type="dxa"/>
                        <w:noWrap w:val="0"/>
                        <w:vAlign w:val="center"/>
                      </w:tcPr>
                      <w:p>
                        <w:pPr>
                          <w:jc w:val="center"/>
                          <w:rPr>
                            <w:color w:val="auto"/>
                            <w:sz w:val="21"/>
                            <w:szCs w:val="21"/>
                          </w:rPr>
                        </w:pPr>
                        <w:r>
                          <w:rPr>
                            <w:rFonts w:hint="eastAsia"/>
                            <w:color w:val="auto"/>
                            <w:sz w:val="21"/>
                            <w:szCs w:val="21"/>
                            <w:lang w:eastAsia="zh-CN"/>
                          </w:rPr>
                          <w:t>2020.09</w:t>
                        </w:r>
                        <w:r>
                          <w:rPr>
                            <w:color w:val="auto"/>
                            <w:sz w:val="21"/>
                            <w:szCs w:val="21"/>
                          </w:rPr>
                          <w:t>.</w:t>
                        </w:r>
                        <w:r>
                          <w:rPr>
                            <w:rFonts w:hint="eastAsia"/>
                            <w:color w:val="auto"/>
                            <w:sz w:val="21"/>
                            <w:szCs w:val="21"/>
                            <w:lang w:val="en-US" w:eastAsia="zh-CN"/>
                          </w:rPr>
                          <w:t>22</w:t>
                        </w:r>
                      </w:p>
                    </w:tc>
                    <w:tc>
                      <w:tcPr>
                        <w:tcW w:w="2617" w:type="dxa"/>
                        <w:noWrap w:val="0"/>
                        <w:vAlign w:val="top"/>
                      </w:tcPr>
                      <w:p>
                        <w:pPr>
                          <w:spacing w:line="360" w:lineRule="auto"/>
                          <w:rPr>
                            <w:rFonts w:hint="eastAsia" w:eastAsia="宋体"/>
                            <w:color w:val="auto"/>
                            <w:sz w:val="21"/>
                            <w:szCs w:val="21"/>
                            <w:lang w:eastAsia="zh-CN"/>
                          </w:rPr>
                        </w:pPr>
                        <w:r>
                          <w:rPr>
                            <w:rFonts w:hint="eastAsia"/>
                            <w:color w:val="auto"/>
                            <w:sz w:val="21"/>
                            <w:szCs w:val="21"/>
                            <w:lang w:val="en-US" w:eastAsia="zh-CN"/>
                          </w:rPr>
                          <w:t>刘晓、李纲要、张学锋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 w:type="dxa"/>
                        <w:noWrap w:val="0"/>
                        <w:vAlign w:val="center"/>
                      </w:tcPr>
                      <w:p>
                        <w:pPr>
                          <w:rPr>
                            <w:rFonts w:hint="eastAsia" w:ascii="宋体" w:hAnsi="宋体"/>
                            <w:color w:val="auto"/>
                            <w:sz w:val="21"/>
                            <w:szCs w:val="21"/>
                          </w:rPr>
                        </w:pPr>
                      </w:p>
                    </w:tc>
                    <w:tc>
                      <w:tcPr>
                        <w:tcW w:w="3673" w:type="dxa"/>
                        <w:noWrap w:val="0"/>
                        <w:vAlign w:val="top"/>
                      </w:tcPr>
                      <w:p>
                        <w:pPr>
                          <w:spacing w:before="156" w:beforeLines="50"/>
                          <w:jc w:val="left"/>
                          <w:rPr>
                            <w:rFonts w:hint="eastAsia"/>
                            <w:color w:val="auto"/>
                            <w:sz w:val="21"/>
                            <w:szCs w:val="21"/>
                          </w:rPr>
                        </w:pPr>
                        <w:r>
                          <w:rPr>
                            <w:rFonts w:hint="eastAsia"/>
                            <w:color w:val="auto"/>
                            <w:sz w:val="21"/>
                            <w:szCs w:val="21"/>
                          </w:rPr>
                          <w:t>设计开发</w:t>
                        </w:r>
                        <w:r>
                          <w:rPr>
                            <w:rFonts w:hint="eastAsia"/>
                            <w:color w:val="auto"/>
                            <w:sz w:val="21"/>
                            <w:szCs w:val="21"/>
                            <w:lang w:val="en-US" w:eastAsia="zh-CN"/>
                          </w:rPr>
                          <w:t>评审、验证、确认</w:t>
                        </w:r>
                      </w:p>
                    </w:tc>
                    <w:tc>
                      <w:tcPr>
                        <w:tcW w:w="2587" w:type="dxa"/>
                        <w:noWrap w:val="0"/>
                        <w:vAlign w:val="center"/>
                      </w:tcPr>
                      <w:p>
                        <w:pPr>
                          <w:jc w:val="center"/>
                          <w:rPr>
                            <w:rFonts w:hint="default" w:eastAsia="宋体"/>
                            <w:color w:val="auto"/>
                            <w:sz w:val="21"/>
                            <w:szCs w:val="21"/>
                            <w:lang w:val="en-US" w:eastAsia="zh-CN"/>
                          </w:rPr>
                        </w:pPr>
                        <w:r>
                          <w:rPr>
                            <w:color w:val="auto"/>
                            <w:sz w:val="21"/>
                            <w:szCs w:val="21"/>
                          </w:rPr>
                          <w:t>20</w:t>
                        </w:r>
                        <w:r>
                          <w:rPr>
                            <w:rFonts w:hint="eastAsia"/>
                            <w:color w:val="auto"/>
                            <w:sz w:val="21"/>
                            <w:szCs w:val="21"/>
                            <w:lang w:val="en-US" w:eastAsia="zh-CN"/>
                          </w:rPr>
                          <w:t>20</w:t>
                        </w:r>
                        <w:r>
                          <w:rPr>
                            <w:color w:val="auto"/>
                            <w:sz w:val="21"/>
                            <w:szCs w:val="21"/>
                          </w:rPr>
                          <w:t>.0</w:t>
                        </w:r>
                        <w:r>
                          <w:rPr>
                            <w:rFonts w:hint="eastAsia"/>
                            <w:color w:val="auto"/>
                            <w:sz w:val="21"/>
                            <w:szCs w:val="21"/>
                            <w:lang w:val="en-US" w:eastAsia="zh-CN"/>
                          </w:rPr>
                          <w:t>9</w:t>
                        </w:r>
                        <w:r>
                          <w:rPr>
                            <w:color w:val="auto"/>
                            <w:sz w:val="21"/>
                            <w:szCs w:val="21"/>
                          </w:rPr>
                          <w:t>.</w:t>
                        </w:r>
                        <w:r>
                          <w:rPr>
                            <w:rFonts w:hint="eastAsia"/>
                            <w:color w:val="auto"/>
                            <w:sz w:val="21"/>
                            <w:szCs w:val="21"/>
                            <w:lang w:val="en-US" w:eastAsia="zh-CN"/>
                          </w:rPr>
                          <w:t>28</w:t>
                        </w:r>
                      </w:p>
                    </w:tc>
                    <w:tc>
                      <w:tcPr>
                        <w:tcW w:w="2617" w:type="dxa"/>
                        <w:noWrap w:val="0"/>
                        <w:vAlign w:val="top"/>
                      </w:tcPr>
                      <w:p>
                        <w:pPr>
                          <w:spacing w:line="360" w:lineRule="auto"/>
                          <w:rPr>
                            <w:rFonts w:hint="eastAsia" w:eastAsia="宋体"/>
                            <w:color w:val="auto"/>
                            <w:sz w:val="21"/>
                            <w:szCs w:val="21"/>
                            <w:lang w:eastAsia="zh-CN"/>
                          </w:rPr>
                        </w:pPr>
                        <w:r>
                          <w:rPr>
                            <w:rFonts w:hint="eastAsia"/>
                            <w:color w:val="auto"/>
                            <w:sz w:val="21"/>
                            <w:szCs w:val="21"/>
                            <w:lang w:val="en-US" w:eastAsia="zh-CN"/>
                          </w:rPr>
                          <w:t>张学锋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73" w:type="dxa"/>
                        <w:noWrap w:val="0"/>
                        <w:vAlign w:val="center"/>
                      </w:tcPr>
                      <w:p>
                        <w:pPr>
                          <w:rPr>
                            <w:rFonts w:hint="eastAsia" w:ascii="宋体" w:hAnsi="宋体"/>
                            <w:color w:val="auto"/>
                            <w:sz w:val="21"/>
                            <w:szCs w:val="21"/>
                          </w:rPr>
                        </w:pPr>
                      </w:p>
                    </w:tc>
                    <w:tc>
                      <w:tcPr>
                        <w:tcW w:w="3673" w:type="dxa"/>
                        <w:noWrap w:val="0"/>
                        <w:vAlign w:val="top"/>
                      </w:tcPr>
                      <w:p>
                        <w:pPr>
                          <w:spacing w:before="156" w:beforeLines="50"/>
                          <w:jc w:val="left"/>
                          <w:rPr>
                            <w:rFonts w:hint="default" w:eastAsia="宋体"/>
                            <w:color w:val="auto"/>
                            <w:sz w:val="21"/>
                            <w:szCs w:val="21"/>
                            <w:lang w:val="en-US" w:eastAsia="zh-CN"/>
                          </w:rPr>
                        </w:pPr>
                        <w:r>
                          <w:rPr>
                            <w:rFonts w:hint="eastAsia"/>
                            <w:color w:val="auto"/>
                            <w:sz w:val="21"/>
                            <w:szCs w:val="21"/>
                          </w:rPr>
                          <w:t>设计开发输出</w:t>
                        </w:r>
                      </w:p>
                    </w:tc>
                    <w:tc>
                      <w:tcPr>
                        <w:tcW w:w="2587" w:type="dxa"/>
                        <w:noWrap w:val="0"/>
                        <w:vAlign w:val="center"/>
                      </w:tcPr>
                      <w:p>
                        <w:pPr>
                          <w:jc w:val="center"/>
                          <w:rPr>
                            <w:color w:val="auto"/>
                            <w:sz w:val="21"/>
                            <w:szCs w:val="21"/>
                          </w:rPr>
                        </w:pPr>
                        <w:r>
                          <w:rPr>
                            <w:color w:val="auto"/>
                            <w:sz w:val="21"/>
                            <w:szCs w:val="21"/>
                          </w:rPr>
                          <w:t>20</w:t>
                        </w:r>
                        <w:r>
                          <w:rPr>
                            <w:rFonts w:hint="eastAsia"/>
                            <w:color w:val="auto"/>
                            <w:sz w:val="21"/>
                            <w:szCs w:val="21"/>
                            <w:lang w:val="en-US" w:eastAsia="zh-CN"/>
                          </w:rPr>
                          <w:t>20</w:t>
                        </w:r>
                        <w:r>
                          <w:rPr>
                            <w:color w:val="auto"/>
                            <w:sz w:val="21"/>
                            <w:szCs w:val="21"/>
                          </w:rPr>
                          <w:t>.</w:t>
                        </w:r>
                        <w:r>
                          <w:rPr>
                            <w:rFonts w:hint="eastAsia"/>
                            <w:color w:val="auto"/>
                            <w:sz w:val="21"/>
                            <w:szCs w:val="21"/>
                            <w:lang w:val="en-US" w:eastAsia="zh-CN"/>
                          </w:rPr>
                          <w:t>10</w:t>
                        </w:r>
                        <w:r>
                          <w:rPr>
                            <w:color w:val="auto"/>
                            <w:sz w:val="21"/>
                            <w:szCs w:val="21"/>
                          </w:rPr>
                          <w:t>.</w:t>
                        </w:r>
                        <w:r>
                          <w:rPr>
                            <w:rFonts w:hint="eastAsia"/>
                            <w:color w:val="auto"/>
                            <w:sz w:val="21"/>
                            <w:szCs w:val="21"/>
                            <w:lang w:val="en-US" w:eastAsia="zh-CN"/>
                          </w:rPr>
                          <w:t>11</w:t>
                        </w:r>
                      </w:p>
                    </w:tc>
                    <w:tc>
                      <w:tcPr>
                        <w:tcW w:w="2617" w:type="dxa"/>
                        <w:noWrap w:val="0"/>
                        <w:vAlign w:val="top"/>
                      </w:tcPr>
                      <w:p>
                        <w:pPr>
                          <w:spacing w:line="360" w:lineRule="auto"/>
                          <w:rPr>
                            <w:rFonts w:hint="eastAsia" w:eastAsia="宋体"/>
                            <w:color w:val="auto"/>
                            <w:sz w:val="21"/>
                            <w:szCs w:val="21"/>
                            <w:lang w:eastAsia="zh-CN"/>
                          </w:rPr>
                        </w:pPr>
                        <w:r>
                          <w:rPr>
                            <w:rFonts w:hint="eastAsia"/>
                            <w:color w:val="auto"/>
                            <w:sz w:val="21"/>
                            <w:szCs w:val="21"/>
                            <w:lang w:val="en-US" w:eastAsia="zh-CN"/>
                          </w:rPr>
                          <w:t>张学锋、李纲要</w:t>
                        </w:r>
                      </w:p>
                    </w:tc>
                  </w:tr>
                </w:tbl>
                <w:p>
                  <w:pP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579" w:type="dxa"/>
                  <w:gridSpan w:val="8"/>
                  <w:tcBorders>
                    <w:bottom w:val="single" w:color="auto" w:sz="12" w:space="0"/>
                  </w:tcBorders>
                  <w:noWrap w:val="0"/>
                  <w:vAlign w:val="top"/>
                </w:tcPr>
                <w:p>
                  <w:pPr>
                    <w:rPr>
                      <w:rFonts w:hint="eastAsia"/>
                      <w:color w:val="auto"/>
                      <w:sz w:val="21"/>
                      <w:szCs w:val="21"/>
                    </w:rPr>
                  </w:pPr>
                  <w:r>
                    <w:rPr>
                      <w:rFonts w:hint="eastAsia"/>
                      <w:color w:val="auto"/>
                      <w:sz w:val="21"/>
                      <w:szCs w:val="21"/>
                    </w:rPr>
                    <w:t xml:space="preserve">输入评审：产品设计满足要求。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12" w:type="dxa"/>
                  <w:noWrap w:val="0"/>
                  <w:vAlign w:val="center"/>
                </w:tcPr>
                <w:p>
                  <w:pPr>
                    <w:jc w:val="center"/>
                    <w:rPr>
                      <w:rFonts w:hint="eastAsia"/>
                      <w:color w:val="auto"/>
                      <w:sz w:val="21"/>
                      <w:szCs w:val="21"/>
                    </w:rPr>
                  </w:pPr>
                  <w:r>
                    <w:rPr>
                      <w:rFonts w:hint="eastAsia"/>
                      <w:color w:val="auto"/>
                      <w:sz w:val="21"/>
                      <w:szCs w:val="21"/>
                    </w:rPr>
                    <w:t>批准</w:t>
                  </w:r>
                </w:p>
              </w:tc>
              <w:tc>
                <w:tcPr>
                  <w:tcW w:w="2047" w:type="dxa"/>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刘晓</w:t>
                  </w:r>
                </w:p>
              </w:tc>
              <w:tc>
                <w:tcPr>
                  <w:tcW w:w="922" w:type="dxa"/>
                  <w:noWrap w:val="0"/>
                  <w:vAlign w:val="center"/>
                </w:tcPr>
                <w:p>
                  <w:pPr>
                    <w:jc w:val="center"/>
                    <w:rPr>
                      <w:rFonts w:hint="eastAsia"/>
                      <w:color w:val="auto"/>
                      <w:sz w:val="21"/>
                      <w:szCs w:val="21"/>
                    </w:rPr>
                  </w:pPr>
                  <w:r>
                    <w:rPr>
                      <w:rFonts w:hint="eastAsia"/>
                      <w:color w:val="auto"/>
                      <w:sz w:val="21"/>
                      <w:szCs w:val="21"/>
                    </w:rPr>
                    <w:t>审核</w:t>
                  </w:r>
                </w:p>
              </w:tc>
              <w:tc>
                <w:tcPr>
                  <w:tcW w:w="2121" w:type="dxa"/>
                  <w:gridSpan w:val="2"/>
                  <w:noWrap w:val="0"/>
                  <w:vAlign w:val="center"/>
                </w:tcPr>
                <w:p>
                  <w:pPr>
                    <w:jc w:val="center"/>
                    <w:rPr>
                      <w:rFonts w:hint="eastAsia" w:eastAsia="宋体"/>
                      <w:color w:val="auto"/>
                      <w:sz w:val="21"/>
                      <w:szCs w:val="21"/>
                      <w:lang w:eastAsia="zh-CN"/>
                    </w:rPr>
                  </w:pPr>
                  <w:r>
                    <w:rPr>
                      <w:rFonts w:hint="eastAsia"/>
                      <w:color w:val="auto"/>
                      <w:sz w:val="21"/>
                      <w:szCs w:val="21"/>
                      <w:lang w:val="en-US" w:eastAsia="zh-CN"/>
                    </w:rPr>
                    <w:t>李纲要</w:t>
                  </w:r>
                </w:p>
              </w:tc>
              <w:tc>
                <w:tcPr>
                  <w:tcW w:w="835" w:type="dxa"/>
                  <w:noWrap w:val="0"/>
                  <w:vAlign w:val="center"/>
                </w:tcPr>
                <w:p>
                  <w:pPr>
                    <w:jc w:val="center"/>
                    <w:rPr>
                      <w:rFonts w:hint="eastAsia"/>
                      <w:color w:val="auto"/>
                      <w:sz w:val="21"/>
                      <w:szCs w:val="21"/>
                    </w:rPr>
                  </w:pPr>
                  <w:r>
                    <w:rPr>
                      <w:rFonts w:hint="eastAsia"/>
                      <w:color w:val="auto"/>
                      <w:sz w:val="21"/>
                      <w:szCs w:val="21"/>
                    </w:rPr>
                    <w:t>编制</w:t>
                  </w:r>
                </w:p>
              </w:tc>
              <w:tc>
                <w:tcPr>
                  <w:tcW w:w="1842" w:type="dxa"/>
                  <w:gridSpan w:val="2"/>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张学锋2020.9.1</w:t>
                  </w:r>
                </w:p>
              </w:tc>
            </w:tr>
          </w:tbl>
          <w:p>
            <w:pPr>
              <w:adjustRightInd w:val="0"/>
              <w:snapToGrid w:val="0"/>
              <w:spacing w:line="400" w:lineRule="exact"/>
              <w:ind w:firstLine="420" w:firstLineChars="200"/>
              <w:rPr>
                <w:rFonts w:hint="eastAsia" w:ascii="宋体" w:hAnsi="宋体"/>
                <w:color w:val="auto"/>
                <w:szCs w:val="21"/>
                <w:shd w:val="clear" w:color="auto" w:fill="auto"/>
              </w:rPr>
            </w:pPr>
            <w:r>
              <w:rPr>
                <w:rFonts w:hint="eastAsia" w:ascii="宋体" w:hAnsi="宋体"/>
                <w:color w:val="auto"/>
                <w:szCs w:val="21"/>
                <w:shd w:val="clear" w:color="auto" w:fill="auto"/>
              </w:rPr>
              <w:t>时间：</w:t>
            </w:r>
            <w:r>
              <w:rPr>
                <w:rFonts w:hint="eastAsia" w:ascii="宋体" w:hAnsi="宋体"/>
                <w:color w:val="auto"/>
                <w:szCs w:val="21"/>
                <w:shd w:val="clear" w:color="auto" w:fill="auto"/>
                <w:lang w:eastAsia="zh-CN"/>
              </w:rPr>
              <w:t>2020.9</w:t>
            </w:r>
            <w:r>
              <w:rPr>
                <w:rFonts w:hint="eastAsia" w:ascii="宋体" w:hAnsi="宋体"/>
                <w:color w:val="auto"/>
                <w:szCs w:val="21"/>
                <w:shd w:val="clear" w:color="auto" w:fill="auto"/>
              </w:rPr>
              <w:t>.1</w:t>
            </w:r>
          </w:p>
          <w:p>
            <w:pPr>
              <w:adjustRightInd w:val="0"/>
              <w:snapToGrid w:val="0"/>
              <w:spacing w:line="400" w:lineRule="exact"/>
              <w:ind w:firstLine="420" w:firstLineChars="200"/>
              <w:rPr>
                <w:rFonts w:hint="default" w:ascii="宋体" w:hAnsi="宋体" w:eastAsia="宋体"/>
                <w:color w:val="auto"/>
                <w:szCs w:val="21"/>
                <w:shd w:val="clear" w:color="auto" w:fill="auto"/>
                <w:lang w:val="en-US" w:eastAsia="zh-CN"/>
              </w:rPr>
            </w:pPr>
            <w:r>
              <w:rPr>
                <w:rFonts w:hint="eastAsia" w:ascii="宋体" w:hAnsi="宋体"/>
                <w:color w:val="auto"/>
                <w:szCs w:val="21"/>
                <w:shd w:val="clear" w:color="auto" w:fill="auto"/>
                <w:lang w:val="en-US" w:eastAsia="zh-CN"/>
              </w:rPr>
              <w:t>包含了</w:t>
            </w:r>
            <w:r>
              <w:rPr>
                <w:rFonts w:hint="eastAsia" w:ascii="宋体" w:hAnsi="宋体"/>
                <w:color w:val="auto"/>
                <w:szCs w:val="21"/>
                <w:shd w:val="clear" w:color="auto" w:fill="auto"/>
              </w:rPr>
              <w:t>开发策划、开发输入、输出、评审、验证、确认等</w:t>
            </w:r>
          </w:p>
          <w:p>
            <w:pPr>
              <w:adjustRightInd w:val="0"/>
              <w:snapToGrid w:val="0"/>
              <w:spacing w:line="400" w:lineRule="exact"/>
              <w:ind w:firstLine="420" w:firstLineChars="200"/>
              <w:rPr>
                <w:rFonts w:hint="eastAsia" w:ascii="宋体" w:hAnsi="宋体" w:eastAsia="宋体"/>
                <w:color w:val="auto"/>
                <w:szCs w:val="21"/>
                <w:shd w:val="clear" w:color="auto" w:fill="auto"/>
                <w:lang w:eastAsia="zh-CN"/>
              </w:rPr>
            </w:pPr>
            <w:r>
              <w:rPr>
                <w:rFonts w:hint="eastAsia" w:ascii="宋体" w:hAnsi="宋体"/>
                <w:color w:val="auto"/>
                <w:szCs w:val="21"/>
                <w:shd w:val="clear" w:color="auto" w:fill="auto"/>
              </w:rPr>
              <w:t>查</w:t>
            </w:r>
            <w:r>
              <w:rPr>
                <w:rFonts w:hint="eastAsia" w:ascii="宋体" w:hAnsi="宋体"/>
                <w:color w:val="auto"/>
                <w:szCs w:val="21"/>
                <w:shd w:val="clear" w:color="auto" w:fill="auto"/>
                <w:lang w:eastAsia="zh-CN"/>
              </w:rPr>
              <w:t>《</w:t>
            </w:r>
            <w:r>
              <w:rPr>
                <w:rFonts w:hint="eastAsia" w:ascii="宋体" w:hAnsi="宋体"/>
                <w:color w:val="auto"/>
                <w:szCs w:val="21"/>
                <w:shd w:val="clear" w:color="auto" w:fill="auto"/>
              </w:rPr>
              <w:t>设计开发输入登记表</w:t>
            </w:r>
            <w:r>
              <w:rPr>
                <w:rFonts w:hint="eastAsia" w:ascii="宋体" w:hAnsi="宋体"/>
                <w:color w:val="auto"/>
                <w:szCs w:val="21"/>
                <w:shd w:val="clear" w:color="auto" w:fill="auto"/>
                <w:lang w:eastAsia="zh-CN"/>
              </w:rPr>
              <w:t>》</w:t>
            </w:r>
          </w:p>
          <w:p>
            <w:pPr>
              <w:adjustRightInd w:val="0"/>
              <w:snapToGrid w:val="0"/>
              <w:spacing w:line="400" w:lineRule="exact"/>
              <w:ind w:firstLine="420" w:firstLineChars="200"/>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输入内</w:t>
            </w:r>
            <w:r>
              <w:rPr>
                <w:rFonts w:hint="eastAsia" w:ascii="宋体" w:hAnsi="宋体" w:eastAsia="宋体" w:cs="Times New Roman"/>
                <w:color w:val="auto"/>
                <w:szCs w:val="21"/>
                <w:shd w:val="clear" w:color="auto" w:fill="auto"/>
                <w:lang w:val="en-US" w:eastAsia="zh-CN"/>
              </w:rPr>
              <w:t>容包含HW83003井基本参数、主要储层段测井综合解释成果表、井气测成果表、声幅测井成果</w:t>
            </w:r>
            <w:r>
              <w:rPr>
                <w:rFonts w:hint="eastAsia" w:ascii="宋体" w:hAnsi="宋体"/>
                <w:color w:val="auto"/>
                <w:szCs w:val="21"/>
                <w:shd w:val="clear" w:color="auto" w:fill="auto"/>
                <w:lang w:val="en-US" w:eastAsia="zh-CN"/>
              </w:rPr>
              <w:t>。</w:t>
            </w:r>
          </w:p>
          <w:p>
            <w:pPr>
              <w:adjustRightInd w:val="0"/>
              <w:snapToGrid w:val="0"/>
              <w:spacing w:line="400" w:lineRule="exact"/>
              <w:ind w:firstLine="420" w:firstLineChars="200"/>
              <w:rPr>
                <w:rFonts w:hint="default"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输入的评审结论：满足设计开发需求。</w:t>
            </w:r>
          </w:p>
          <w:p>
            <w:pPr>
              <w:adjustRightInd w:val="0"/>
              <w:snapToGrid w:val="0"/>
              <w:spacing w:line="400" w:lineRule="exact"/>
              <w:ind w:firstLine="420" w:firstLineChars="200"/>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rPr>
              <w:t>批准</w:t>
            </w:r>
            <w:r>
              <w:rPr>
                <w:rFonts w:hint="eastAsia" w:ascii="宋体" w:hAnsi="宋体"/>
                <w:color w:val="auto"/>
                <w:szCs w:val="21"/>
                <w:shd w:val="clear" w:color="auto" w:fill="auto"/>
              </w:rPr>
              <w:tab/>
            </w:r>
            <w:r>
              <w:rPr>
                <w:rFonts w:hint="eastAsia" w:ascii="宋体" w:hAnsi="宋体"/>
                <w:color w:val="auto"/>
                <w:szCs w:val="21"/>
                <w:shd w:val="clear" w:color="auto" w:fill="auto"/>
                <w:lang w:eastAsia="zh-CN"/>
              </w:rPr>
              <w:t>刘晓</w:t>
            </w:r>
            <w:r>
              <w:rPr>
                <w:rFonts w:hint="eastAsia" w:ascii="宋体" w:hAnsi="宋体"/>
                <w:color w:val="auto"/>
                <w:szCs w:val="21"/>
                <w:shd w:val="clear" w:color="auto" w:fill="auto"/>
              </w:rPr>
              <w:tab/>
            </w:r>
            <w:r>
              <w:rPr>
                <w:rFonts w:hint="eastAsia" w:ascii="宋体" w:hAnsi="宋体"/>
                <w:color w:val="auto"/>
                <w:szCs w:val="21"/>
                <w:shd w:val="clear" w:color="auto" w:fill="auto"/>
              </w:rPr>
              <w:t>审核</w:t>
            </w:r>
            <w:r>
              <w:rPr>
                <w:rFonts w:hint="eastAsia" w:ascii="宋体" w:hAnsi="宋体"/>
                <w:color w:val="auto"/>
                <w:szCs w:val="21"/>
                <w:shd w:val="clear" w:color="auto" w:fill="auto"/>
              </w:rPr>
              <w:tab/>
            </w:r>
            <w:r>
              <w:rPr>
                <w:rFonts w:hint="eastAsia" w:ascii="宋体" w:hAnsi="宋体"/>
                <w:color w:val="auto"/>
                <w:szCs w:val="21"/>
                <w:shd w:val="clear" w:color="auto" w:fill="auto"/>
                <w:lang w:eastAsia="zh-CN"/>
              </w:rPr>
              <w:t>李纲要</w:t>
            </w:r>
            <w:r>
              <w:rPr>
                <w:rFonts w:hint="eastAsia" w:ascii="宋体" w:hAnsi="宋体"/>
                <w:color w:val="auto"/>
                <w:szCs w:val="21"/>
                <w:shd w:val="clear" w:color="auto" w:fill="auto"/>
              </w:rPr>
              <w:tab/>
            </w:r>
            <w:r>
              <w:rPr>
                <w:rFonts w:hint="eastAsia" w:ascii="宋体" w:hAnsi="宋体"/>
                <w:color w:val="auto"/>
                <w:szCs w:val="21"/>
                <w:shd w:val="clear" w:color="auto" w:fill="auto"/>
              </w:rPr>
              <w:t>编制</w:t>
            </w:r>
            <w:r>
              <w:rPr>
                <w:rFonts w:hint="eastAsia" w:ascii="宋体" w:hAnsi="宋体"/>
                <w:color w:val="auto"/>
                <w:szCs w:val="21"/>
                <w:shd w:val="clear" w:color="auto" w:fill="auto"/>
              </w:rPr>
              <w:tab/>
            </w:r>
            <w:r>
              <w:rPr>
                <w:rFonts w:hint="eastAsia" w:ascii="宋体" w:hAnsi="宋体"/>
                <w:color w:val="auto"/>
                <w:szCs w:val="21"/>
                <w:shd w:val="clear" w:color="auto" w:fill="auto"/>
                <w:lang w:eastAsia="zh-CN"/>
              </w:rPr>
              <w:t>张学锋</w:t>
            </w:r>
            <w:r>
              <w:rPr>
                <w:rFonts w:hint="eastAsia" w:ascii="宋体" w:hAnsi="宋体"/>
                <w:color w:val="auto"/>
                <w:szCs w:val="21"/>
                <w:shd w:val="clear" w:color="auto" w:fill="auto"/>
                <w:lang w:val="en-US" w:eastAsia="zh-CN"/>
              </w:rPr>
              <w:t xml:space="preserve">   </w:t>
            </w:r>
            <w:r>
              <w:rPr>
                <w:rFonts w:hint="eastAsia" w:ascii="宋体" w:hAnsi="宋体"/>
                <w:color w:val="auto"/>
                <w:szCs w:val="21"/>
                <w:shd w:val="clear" w:color="auto" w:fill="auto"/>
                <w:lang w:eastAsia="zh-CN"/>
              </w:rPr>
              <w:t>2020.9</w:t>
            </w:r>
            <w:r>
              <w:rPr>
                <w:rFonts w:hint="eastAsia" w:ascii="宋体" w:hAnsi="宋体"/>
                <w:color w:val="auto"/>
                <w:szCs w:val="21"/>
                <w:shd w:val="clear" w:color="auto" w:fill="auto"/>
              </w:rPr>
              <w:t>.</w:t>
            </w:r>
            <w:r>
              <w:rPr>
                <w:rFonts w:hint="eastAsia" w:ascii="宋体" w:hAnsi="宋体"/>
                <w:color w:val="auto"/>
                <w:szCs w:val="21"/>
                <w:shd w:val="clear" w:color="auto" w:fill="auto"/>
                <w:lang w:val="en-US" w:eastAsia="zh-CN"/>
              </w:rPr>
              <w:t>22</w:t>
            </w:r>
          </w:p>
          <w:p>
            <w:pPr>
              <w:adjustRightInd w:val="0"/>
              <w:snapToGrid w:val="0"/>
              <w:spacing w:line="400" w:lineRule="exact"/>
              <w:ind w:firstLine="420" w:firstLineChars="200"/>
              <w:rPr>
                <w:rFonts w:hint="default" w:ascii="宋体" w:hAnsi="宋体"/>
                <w:color w:val="auto"/>
                <w:szCs w:val="21"/>
                <w:shd w:val="clear" w:color="auto" w:fill="auto"/>
                <w:lang w:val="en-US" w:eastAsia="zh-CN"/>
              </w:rPr>
            </w:pPr>
          </w:p>
          <w:p>
            <w:pPr>
              <w:adjustRightInd w:val="0"/>
              <w:snapToGrid w:val="0"/>
              <w:spacing w:line="400" w:lineRule="exact"/>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查《</w:t>
            </w:r>
            <w:r>
              <w:rPr>
                <w:rFonts w:hint="eastAsia"/>
                <w:color w:val="auto"/>
                <w:sz w:val="21"/>
                <w:szCs w:val="21"/>
                <w:lang w:val="en-US" w:eastAsia="zh-CN"/>
              </w:rPr>
              <w:t>HW83003井分段加砂压裂概念设计</w:t>
            </w:r>
            <w:r>
              <w:rPr>
                <w:rFonts w:hint="eastAsia" w:ascii="宋体" w:hAnsi="宋体"/>
                <w:color w:val="auto"/>
                <w:szCs w:val="21"/>
                <w:shd w:val="clear" w:color="auto" w:fill="auto"/>
                <w:lang w:val="en-US" w:eastAsia="zh-CN"/>
              </w:rPr>
              <w:t>评审验证记录表》</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lang w:val="en-US" w:eastAsia="zh-CN"/>
              </w:rPr>
              <w:t>评审内</w:t>
            </w:r>
            <w:r>
              <w:rPr>
                <w:rFonts w:hint="eastAsia" w:ascii="宋体" w:hAnsi="宋体"/>
                <w:color w:val="auto"/>
                <w:szCs w:val="21"/>
                <w:shd w:val="clear" w:color="auto" w:fill="auto"/>
              </w:rPr>
              <w:t>容：</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rPr>
              <w:t>1.设计依据</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rPr>
              <w:t>2.产品用途及使用范围</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rPr>
              <w:t>3.主要性能技术指标</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rPr>
              <w:t>4.产品主要工作原理</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lang w:val="en-US" w:eastAsia="zh-CN"/>
              </w:rPr>
              <w:t>5</w:t>
            </w:r>
            <w:r>
              <w:rPr>
                <w:rFonts w:hint="eastAsia" w:ascii="宋体" w:hAnsi="宋体"/>
                <w:color w:val="auto"/>
                <w:szCs w:val="21"/>
                <w:shd w:val="clear" w:color="auto" w:fill="auto"/>
              </w:rPr>
              <w:t>.产品的设计方案在性能与成本方面分析比较</w:t>
            </w:r>
          </w:p>
          <w:p>
            <w:pPr>
              <w:adjustRightInd w:val="0"/>
              <w:snapToGrid w:val="0"/>
              <w:spacing w:line="400" w:lineRule="exact"/>
              <w:rPr>
                <w:rFonts w:hint="eastAsia" w:ascii="宋体" w:hAnsi="宋体"/>
                <w:color w:val="auto"/>
                <w:szCs w:val="21"/>
                <w:shd w:val="clear" w:color="auto" w:fill="auto"/>
              </w:rPr>
            </w:pPr>
            <w:r>
              <w:rPr>
                <w:rFonts w:hint="eastAsia" w:ascii="宋体" w:hAnsi="宋体"/>
                <w:color w:val="auto"/>
                <w:szCs w:val="21"/>
                <w:shd w:val="clear" w:color="auto" w:fill="auto"/>
              </w:rPr>
              <w:t>符合要求满足用户需求</w:t>
            </w:r>
          </w:p>
          <w:p>
            <w:pPr>
              <w:adjustRightInd w:val="0"/>
              <w:snapToGrid w:val="0"/>
              <w:spacing w:line="400" w:lineRule="exact"/>
              <w:rPr>
                <w:rFonts w:hint="default"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评审结论：满足设计要求。评审人员：刘晓、张学锋、李纲要，日期：2020.9.26</w:t>
            </w:r>
          </w:p>
          <w:p>
            <w:pPr>
              <w:adjustRightInd w:val="0"/>
              <w:snapToGrid w:val="0"/>
              <w:spacing w:line="400" w:lineRule="exact"/>
              <w:rPr>
                <w:rFonts w:hint="default" w:ascii="宋体" w:hAnsi="宋体"/>
                <w:color w:val="auto"/>
                <w:szCs w:val="21"/>
                <w:shd w:val="clear" w:color="auto" w:fill="auto"/>
                <w:lang w:val="en-US" w:eastAsia="zh-CN"/>
              </w:rPr>
            </w:pPr>
          </w:p>
          <w:p>
            <w:pPr>
              <w:adjustRightInd w:val="0"/>
              <w:snapToGrid w:val="0"/>
              <w:spacing w:line="400" w:lineRule="exact"/>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查《设计开发确认记录表》</w:t>
            </w:r>
          </w:p>
          <w:p>
            <w:pPr>
              <w:adjustRightInd w:val="0"/>
              <w:snapToGrid w:val="0"/>
              <w:spacing w:line="400" w:lineRule="exact"/>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确认内容：设计所有项目内容确认含：设计方案的确认、甲方确认。</w:t>
            </w:r>
          </w:p>
          <w:p>
            <w:pPr>
              <w:adjustRightInd w:val="0"/>
              <w:snapToGrid w:val="0"/>
              <w:spacing w:line="400" w:lineRule="exact"/>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确认结果：满足甲方要求。</w:t>
            </w:r>
          </w:p>
          <w:p>
            <w:pPr>
              <w:adjustRightInd w:val="0"/>
              <w:snapToGrid w:val="0"/>
              <w:spacing w:line="400" w:lineRule="exact"/>
              <w:rPr>
                <w:rFonts w:hint="eastAsia" w:ascii="宋体" w:hAnsi="宋体" w:eastAsia="宋体" w:cs="Times New Roman"/>
                <w:color w:val="auto"/>
                <w:szCs w:val="21"/>
                <w:shd w:val="clear" w:color="auto" w:fill="auto"/>
                <w:lang w:val="en-US" w:eastAsia="zh-CN"/>
              </w:rPr>
            </w:pPr>
            <w:r>
              <w:rPr>
                <w:rFonts w:hint="eastAsia" w:ascii="宋体" w:hAnsi="宋体"/>
                <w:color w:val="auto"/>
                <w:szCs w:val="21"/>
                <w:shd w:val="clear" w:color="auto" w:fill="auto"/>
                <w:lang w:val="en-US" w:eastAsia="zh-CN"/>
              </w:rPr>
              <w:t>并提</w:t>
            </w:r>
            <w:r>
              <w:rPr>
                <w:rFonts w:hint="eastAsia" w:ascii="宋体" w:hAnsi="宋体" w:eastAsia="宋体" w:cs="Times New Roman"/>
                <w:color w:val="auto"/>
                <w:szCs w:val="21"/>
                <w:shd w:val="clear" w:color="auto" w:fill="auto"/>
                <w:lang w:val="en-US" w:eastAsia="zh-CN"/>
              </w:rPr>
              <w:t>供了《HW83003井分段加砂压裂概念设计》报告，由设计人、审查人，甲方审核查人、甲方批准人签字</w:t>
            </w:r>
            <w:r>
              <w:rPr>
                <w:rFonts w:hint="eastAsia" w:eastAsia="黑体"/>
                <w:color w:val="auto"/>
                <w:sz w:val="36"/>
                <w:szCs w:val="36"/>
                <w:lang w:eastAsia="zh-CN"/>
              </w:rPr>
              <w:drawing>
                <wp:anchor distT="0" distB="0" distL="114300" distR="114300" simplePos="0" relativeHeight="252334080" behindDoc="0" locked="0" layoutInCell="1" allowOverlap="1">
                  <wp:simplePos x="0" y="0"/>
                  <wp:positionH relativeFrom="column">
                    <wp:posOffset>986155</wp:posOffset>
                  </wp:positionH>
                  <wp:positionV relativeFrom="paragraph">
                    <wp:posOffset>127000</wp:posOffset>
                  </wp:positionV>
                  <wp:extent cx="2146935" cy="3037205"/>
                  <wp:effectExtent l="0" t="0" r="12065" b="10795"/>
                  <wp:wrapNone/>
                  <wp:docPr id="19" name="图片 1" descr="设计签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设计签字_00"/>
                          <pic:cNvPicPr>
                            <a:picLocks noChangeAspect="1"/>
                          </pic:cNvPicPr>
                        </pic:nvPicPr>
                        <pic:blipFill>
                          <a:blip r:embed="rId8"/>
                          <a:stretch>
                            <a:fillRect/>
                          </a:stretch>
                        </pic:blipFill>
                        <pic:spPr>
                          <a:xfrm>
                            <a:off x="0" y="0"/>
                            <a:ext cx="2146935" cy="3037205"/>
                          </a:xfrm>
                          <a:prstGeom prst="rect">
                            <a:avLst/>
                          </a:prstGeom>
                          <a:noFill/>
                          <a:ln>
                            <a:noFill/>
                          </a:ln>
                        </pic:spPr>
                      </pic:pic>
                    </a:graphicData>
                  </a:graphic>
                </wp:anchor>
              </w:drawing>
            </w:r>
            <w:r>
              <w:rPr>
                <w:rFonts w:hint="eastAsia" w:ascii="宋体" w:hAnsi="宋体" w:eastAsia="宋体" w:cs="Times New Roman"/>
                <w:color w:val="auto"/>
                <w:szCs w:val="21"/>
                <w:shd w:val="clear" w:color="auto" w:fill="auto"/>
                <w:lang w:val="en-US" w:eastAsia="zh-CN"/>
              </w:rPr>
              <w:t>确认：</w:t>
            </w:r>
          </w:p>
          <w:p>
            <w:pPr>
              <w:pStyle w:val="2"/>
              <w:rPr>
                <w:rFonts w:hint="eastAsia" w:ascii="宋体" w:hAnsi="宋体" w:eastAsia="宋体" w:cs="Times New Roman"/>
                <w:color w:val="auto"/>
                <w:szCs w:val="21"/>
                <w:shd w:val="clear" w:color="auto" w:fill="auto"/>
                <w:lang w:val="en-US" w:eastAsia="zh-CN"/>
              </w:rPr>
            </w:pPr>
          </w:p>
          <w:p>
            <w:pPr>
              <w:pStyle w:val="3"/>
              <w:rPr>
                <w:rFonts w:hint="eastAsia" w:ascii="宋体" w:hAnsi="宋体" w:eastAsia="宋体" w:cs="Times New Roman"/>
                <w:color w:val="auto"/>
                <w:szCs w:val="21"/>
                <w:shd w:val="clear" w:color="auto" w:fill="auto"/>
                <w:lang w:val="en-US" w:eastAsia="zh-CN"/>
              </w:rPr>
            </w:pPr>
          </w:p>
          <w:p>
            <w:pPr>
              <w:pStyle w:val="5"/>
              <w:rPr>
                <w:rFonts w:hint="eastAsia" w:ascii="宋体" w:hAnsi="宋体" w:eastAsia="宋体" w:cs="Times New Roman"/>
                <w:color w:val="auto"/>
                <w:szCs w:val="21"/>
                <w:shd w:val="clear" w:color="auto" w:fill="auto"/>
                <w:lang w:val="en-US" w:eastAsia="zh-CN"/>
              </w:rPr>
            </w:pPr>
          </w:p>
          <w:p>
            <w:pPr>
              <w:rPr>
                <w:rFonts w:hint="eastAsia" w:ascii="宋体" w:hAnsi="宋体" w:eastAsia="宋体" w:cs="Times New Roman"/>
                <w:color w:val="auto"/>
                <w:szCs w:val="21"/>
                <w:shd w:val="clear" w:color="auto" w:fill="auto"/>
                <w:lang w:val="en-US" w:eastAsia="zh-CN"/>
              </w:rPr>
            </w:pPr>
          </w:p>
          <w:p>
            <w:pPr>
              <w:pStyle w:val="2"/>
              <w:rPr>
                <w:rFonts w:hint="eastAsia" w:ascii="宋体" w:hAnsi="宋体" w:eastAsia="宋体" w:cs="Times New Roman"/>
                <w:color w:val="auto"/>
                <w:szCs w:val="21"/>
                <w:shd w:val="clear" w:color="auto" w:fill="auto"/>
                <w:lang w:val="en-US" w:eastAsia="zh-CN"/>
              </w:rPr>
            </w:pPr>
          </w:p>
          <w:p>
            <w:pPr>
              <w:pStyle w:val="3"/>
              <w:rPr>
                <w:rFonts w:hint="eastAsia" w:ascii="宋体" w:hAnsi="宋体" w:eastAsia="宋体" w:cs="Times New Roman"/>
                <w:color w:val="auto"/>
                <w:szCs w:val="21"/>
                <w:shd w:val="clear" w:color="auto" w:fill="auto"/>
                <w:lang w:val="en-US" w:eastAsia="zh-CN"/>
              </w:rPr>
            </w:pPr>
          </w:p>
          <w:p>
            <w:pPr>
              <w:pStyle w:val="5"/>
              <w:rPr>
                <w:rFonts w:hint="eastAsia" w:ascii="宋体" w:hAnsi="宋体" w:eastAsia="宋体" w:cs="Times New Roman"/>
                <w:color w:val="auto"/>
                <w:szCs w:val="21"/>
                <w:shd w:val="clear" w:color="auto" w:fill="auto"/>
                <w:lang w:val="en-US" w:eastAsia="zh-CN"/>
              </w:rPr>
            </w:pPr>
          </w:p>
          <w:p>
            <w:pPr>
              <w:rPr>
                <w:rFonts w:hint="eastAsia" w:ascii="宋体" w:hAnsi="宋体" w:eastAsia="宋体" w:cs="Times New Roman"/>
                <w:color w:val="auto"/>
                <w:szCs w:val="21"/>
                <w:shd w:val="clear" w:color="auto" w:fill="auto"/>
                <w:lang w:val="en-US" w:eastAsia="zh-CN"/>
              </w:rPr>
            </w:pPr>
          </w:p>
          <w:p>
            <w:pPr>
              <w:pStyle w:val="2"/>
              <w:rPr>
                <w:rFonts w:hint="eastAsia" w:ascii="宋体" w:hAnsi="宋体" w:eastAsia="宋体" w:cs="Times New Roman"/>
                <w:color w:val="auto"/>
                <w:szCs w:val="21"/>
                <w:shd w:val="clear" w:color="auto" w:fill="auto"/>
                <w:lang w:val="en-US" w:eastAsia="zh-CN"/>
              </w:rPr>
            </w:pPr>
          </w:p>
          <w:p>
            <w:pPr>
              <w:pStyle w:val="3"/>
              <w:rPr>
                <w:rFonts w:hint="eastAsia" w:ascii="宋体" w:hAnsi="宋体" w:eastAsia="宋体" w:cs="Times New Roman"/>
                <w:color w:val="auto"/>
                <w:szCs w:val="21"/>
                <w:shd w:val="clear" w:color="auto" w:fill="auto"/>
                <w:lang w:val="en-US" w:eastAsia="zh-CN"/>
              </w:rPr>
            </w:pPr>
          </w:p>
          <w:p>
            <w:pPr>
              <w:pStyle w:val="5"/>
              <w:rPr>
                <w:rFonts w:hint="eastAsia" w:ascii="宋体" w:hAnsi="宋体" w:eastAsia="宋体" w:cs="Times New Roman"/>
                <w:color w:val="auto"/>
                <w:szCs w:val="21"/>
                <w:shd w:val="clear" w:color="auto" w:fill="auto"/>
                <w:lang w:val="en-US" w:eastAsia="zh-CN"/>
              </w:rPr>
            </w:pPr>
          </w:p>
          <w:p>
            <w:pPr>
              <w:rPr>
                <w:rFonts w:hint="eastAsia" w:ascii="宋体" w:hAnsi="宋体" w:eastAsia="宋体" w:cs="Times New Roman"/>
                <w:color w:val="auto"/>
                <w:szCs w:val="21"/>
                <w:shd w:val="clear" w:color="auto" w:fill="auto"/>
                <w:lang w:val="en-US" w:eastAsia="zh-CN"/>
              </w:rPr>
            </w:pPr>
          </w:p>
          <w:p>
            <w:pPr>
              <w:pStyle w:val="2"/>
              <w:rPr>
                <w:rFonts w:hint="eastAsia" w:ascii="宋体" w:hAnsi="宋体" w:eastAsia="宋体" w:cs="Times New Roman"/>
                <w:color w:val="auto"/>
                <w:szCs w:val="21"/>
                <w:shd w:val="clear" w:color="auto" w:fill="auto"/>
                <w:lang w:val="en-US" w:eastAsia="zh-CN"/>
              </w:rPr>
            </w:pPr>
          </w:p>
          <w:p>
            <w:pPr>
              <w:pStyle w:val="3"/>
              <w:rPr>
                <w:rFonts w:hint="eastAsia"/>
                <w:color w:val="auto"/>
                <w:lang w:val="en-US" w:eastAsia="zh-CN"/>
              </w:rPr>
            </w:pPr>
          </w:p>
          <w:p>
            <w:pPr>
              <w:numPr>
                <w:ilvl w:val="0"/>
                <w:numId w:val="0"/>
              </w:numPr>
              <w:adjustRightInd w:val="0"/>
              <w:snapToGrid w:val="0"/>
              <w:spacing w:line="400" w:lineRule="exact"/>
              <w:rPr>
                <w:rFonts w:hint="default" w:ascii="宋体" w:hAnsi="宋体" w:eastAsia="宋体" w:cs="Times New Roman"/>
                <w:color w:val="auto"/>
                <w:szCs w:val="21"/>
                <w:shd w:val="clear" w:color="auto" w:fill="auto"/>
                <w:lang w:val="en-US" w:eastAsia="zh-CN"/>
              </w:rPr>
            </w:pPr>
            <w:r>
              <w:rPr>
                <w:rFonts w:hint="eastAsia" w:ascii="宋体" w:hAnsi="宋体"/>
                <w:color w:val="auto"/>
                <w:szCs w:val="21"/>
                <w:shd w:val="clear" w:color="auto" w:fill="auto"/>
                <w:lang w:val="en-US" w:eastAsia="zh-CN"/>
              </w:rPr>
              <w:t>设计的</w:t>
            </w:r>
            <w:r>
              <w:rPr>
                <w:rFonts w:hint="eastAsia" w:ascii="宋体" w:hAnsi="宋体" w:eastAsia="宋体" w:cs="Times New Roman"/>
                <w:color w:val="auto"/>
                <w:szCs w:val="21"/>
                <w:shd w:val="clear" w:color="auto" w:fill="auto"/>
                <w:lang w:val="en-US" w:eastAsia="zh-CN"/>
              </w:rPr>
              <w:t>成果：HW83003井采用“地质工程一体化”理念进行改造，根据录井、测井、方案解释确定各段改造规模。综合评价以气测、测井、方案解释为依据，主加砂规模分别优化为18.0、23.0m3。</w:t>
            </w:r>
          </w:p>
          <w:p>
            <w:pPr>
              <w:numPr>
                <w:ilvl w:val="0"/>
                <w:numId w:val="0"/>
              </w:numPr>
              <w:adjustRightInd w:val="0"/>
              <w:snapToGrid w:val="0"/>
              <w:spacing w:line="400" w:lineRule="exact"/>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查《设计开发输出登记表》，</w:t>
            </w:r>
          </w:p>
          <w:p>
            <w:pPr>
              <w:numPr>
                <w:ilvl w:val="0"/>
                <w:numId w:val="0"/>
              </w:numPr>
              <w:adjustRightInd w:val="0"/>
              <w:snapToGrid w:val="0"/>
              <w:spacing w:line="400" w:lineRule="exact"/>
              <w:rPr>
                <w:rFonts w:hint="eastAsia" w:ascii="宋体" w:hAnsi="宋体"/>
                <w:color w:val="auto"/>
                <w:szCs w:val="21"/>
                <w:shd w:val="clear" w:color="auto" w:fill="auto"/>
                <w:lang w:val="en-US" w:eastAsia="zh-CN"/>
              </w:rPr>
            </w:pPr>
            <w:r>
              <w:rPr>
                <w:rFonts w:hint="eastAsia" w:ascii="宋体" w:hAnsi="宋体"/>
                <w:color w:val="auto"/>
                <w:szCs w:val="21"/>
                <w:shd w:val="clear" w:color="auto" w:fill="auto"/>
                <w:lang w:val="en-US" w:eastAsia="zh-CN"/>
              </w:rPr>
              <w:t>输出内容为：</w:t>
            </w:r>
            <w:r>
              <w:rPr>
                <w:rFonts w:hint="eastAsia" w:ascii="宋体" w:hAnsi="宋体" w:eastAsia="宋体" w:cs="Times New Roman"/>
                <w:color w:val="auto"/>
                <w:szCs w:val="21"/>
                <w:shd w:val="clear" w:color="auto" w:fill="auto"/>
                <w:lang w:val="en-US" w:eastAsia="zh-CN"/>
              </w:rPr>
              <w:t>《HW83003井分段加砂压裂概念设计》报告</w:t>
            </w:r>
            <w:r>
              <w:rPr>
                <w:rFonts w:hint="eastAsia" w:ascii="宋体" w:hAnsi="宋体"/>
                <w:color w:val="auto"/>
                <w:szCs w:val="21"/>
                <w:shd w:val="clear" w:color="auto" w:fill="auto"/>
                <w:lang w:val="en-US" w:eastAsia="zh-CN"/>
              </w:rPr>
              <w:t>。</w:t>
            </w:r>
          </w:p>
          <w:p>
            <w:pPr>
              <w:adjustRightInd w:val="0"/>
              <w:snapToGrid w:val="0"/>
              <w:spacing w:line="400" w:lineRule="exact"/>
              <w:rPr>
                <w:rFonts w:ascii="宋体" w:hAnsi="宋体"/>
                <w:color w:val="auto"/>
                <w:szCs w:val="21"/>
                <w:shd w:val="clear" w:color="auto" w:fill="auto"/>
              </w:rPr>
            </w:pPr>
            <w:r>
              <w:rPr>
                <w:rFonts w:hint="eastAsia" w:ascii="宋体" w:hAnsi="宋体"/>
                <w:color w:val="auto"/>
                <w:szCs w:val="21"/>
                <w:shd w:val="clear" w:color="auto" w:fill="auto"/>
              </w:rPr>
              <w:t>对设计输出进行确认，能满足输入要求。</w:t>
            </w:r>
          </w:p>
          <w:p>
            <w:pPr>
              <w:snapToGrid w:val="0"/>
              <w:spacing w:line="400" w:lineRule="exact"/>
              <w:ind w:firstLine="420" w:firstLineChars="200"/>
              <w:rPr>
                <w:rFonts w:ascii="宋体" w:hAnsi="宋体"/>
                <w:color w:val="auto"/>
                <w:szCs w:val="21"/>
                <w:shd w:val="clear" w:color="auto" w:fill="auto"/>
              </w:rPr>
            </w:pPr>
            <w:r>
              <w:rPr>
                <w:rFonts w:hint="eastAsia" w:ascii="宋体" w:hAnsi="宋体"/>
                <w:color w:val="auto"/>
                <w:szCs w:val="21"/>
                <w:shd w:val="clear" w:color="auto" w:fill="auto"/>
              </w:rPr>
              <w:t>查，公司策划了设计变更的管理要求。</w:t>
            </w:r>
          </w:p>
          <w:p>
            <w:pPr>
              <w:snapToGrid w:val="0"/>
              <w:spacing w:line="400" w:lineRule="exact"/>
              <w:ind w:firstLine="420" w:firstLineChars="200"/>
              <w:rPr>
                <w:rFonts w:hint="eastAsia" w:ascii="宋体" w:hAnsi="宋体"/>
                <w:color w:val="auto"/>
                <w:szCs w:val="21"/>
                <w:shd w:val="clear" w:color="auto" w:fill="auto"/>
              </w:rPr>
            </w:pPr>
            <w:r>
              <w:rPr>
                <w:rFonts w:hint="eastAsia" w:ascii="宋体" w:hAnsi="宋体"/>
                <w:color w:val="auto"/>
                <w:szCs w:val="21"/>
                <w:shd w:val="clear" w:color="auto" w:fill="auto"/>
              </w:rPr>
              <w:t>该设计过程的变更：对于设计、确认过程的问题，均按设计开发程序要求，进行更改后再次验证确认，合格方能通过。</w:t>
            </w:r>
          </w:p>
          <w:p>
            <w:pPr>
              <w:snapToGrid w:val="0"/>
              <w:spacing w:line="400" w:lineRule="exact"/>
              <w:ind w:firstLine="420" w:firstLineChars="200"/>
              <w:rPr>
                <w:rFonts w:hint="default" w:ascii="宋体" w:hAnsi="宋体" w:eastAsia="宋体" w:cs="Times New Roman"/>
                <w:color w:val="auto"/>
                <w:szCs w:val="21"/>
                <w:shd w:val="clear" w:color="auto" w:fill="auto"/>
                <w:lang w:val="en-US" w:eastAsia="zh-CN"/>
              </w:rPr>
            </w:pPr>
            <w:r>
              <w:rPr>
                <w:rFonts w:hint="eastAsia" w:ascii="宋体" w:hAnsi="宋体" w:eastAsia="宋体" w:cs="Times New Roman"/>
                <w:color w:val="auto"/>
                <w:szCs w:val="21"/>
                <w:shd w:val="clear" w:color="auto" w:fill="auto"/>
                <w:lang w:val="en-US" w:eastAsia="zh-CN"/>
              </w:rPr>
              <w:t>再查《</w:t>
            </w:r>
            <w:r>
              <w:rPr>
                <w:rFonts w:hint="eastAsia" w:ascii="宋体" w:hAnsi="宋体" w:eastAsia="宋体" w:cs="Times New Roman"/>
                <w:color w:val="auto"/>
                <w:szCs w:val="21"/>
                <w:shd w:val="clear" w:color="auto" w:fill="auto"/>
              </w:rPr>
              <w:t>HW85014井分段加砂压裂概念设计</w:t>
            </w:r>
            <w:r>
              <w:rPr>
                <w:rFonts w:hint="eastAsia" w:ascii="宋体" w:hAnsi="宋体" w:eastAsia="宋体" w:cs="Times New Roman"/>
                <w:color w:val="auto"/>
                <w:szCs w:val="21"/>
                <w:shd w:val="clear" w:color="auto" w:fill="auto"/>
                <w:lang w:val="en-US" w:eastAsia="zh-CN"/>
              </w:rPr>
              <w:t>》报告，能够满足设计要求。</w:t>
            </w:r>
          </w:p>
          <w:p>
            <w:pPr>
              <w:spacing w:line="400" w:lineRule="exact"/>
              <w:rPr>
                <w:rFonts w:hint="eastAsia" w:ascii="宋体" w:hAnsi="宋体" w:eastAsia="宋体" w:cs="Times New Roman"/>
                <w:color w:val="auto"/>
                <w:kern w:val="2"/>
                <w:sz w:val="21"/>
                <w:szCs w:val="21"/>
                <w:shd w:val="clear" w:color="auto" w:fill="auto"/>
                <w:lang w:val="en-US" w:eastAsia="zh-CN" w:bidi="ar-SA"/>
              </w:rPr>
            </w:pPr>
            <w:r>
              <w:rPr>
                <w:rFonts w:hint="eastAsia" w:ascii="宋体" w:hAnsi="宋体"/>
                <w:color w:val="auto"/>
                <w:szCs w:val="21"/>
                <w:shd w:val="clear" w:color="auto" w:fill="auto"/>
              </w:rPr>
              <w:t>公司的设计过程受控。</w:t>
            </w: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tcPr>
          <w:p>
            <w:pPr>
              <w:rPr>
                <w:rFonts w:hint="eastAsia" w:ascii="宋体" w:hAnsi="宋体" w:cs="Arial"/>
                <w:color w:val="auto"/>
                <w:szCs w:val="21"/>
              </w:rPr>
            </w:pPr>
            <w:r>
              <w:rPr>
                <w:rFonts w:hint="eastAsia" w:ascii="宋体" w:hAnsi="宋体" w:cs="Arial"/>
                <w:color w:val="auto"/>
                <w:szCs w:val="21"/>
              </w:rPr>
              <w:t>产品和服务提供的控制</w:t>
            </w:r>
          </w:p>
          <w:p>
            <w:pPr>
              <w:pStyle w:val="14"/>
              <w:rPr>
                <w:rFonts w:hint="eastAsia" w:ascii="宋体" w:hAnsi="宋体" w:cs="Arial"/>
                <w:color w:val="auto"/>
                <w:szCs w:val="21"/>
              </w:rPr>
            </w:pPr>
          </w:p>
          <w:p>
            <w:pPr>
              <w:pStyle w:val="14"/>
              <w:rPr>
                <w:rFonts w:hint="eastAsia" w:ascii="宋体" w:hAnsi="宋体" w:cs="Arial"/>
                <w:color w:val="auto"/>
                <w:szCs w:val="21"/>
              </w:rPr>
            </w:pPr>
          </w:p>
          <w:p>
            <w:pPr>
              <w:spacing w:line="360" w:lineRule="auto"/>
              <w:rPr>
                <w:rFonts w:ascii="宋体" w:hAnsi="宋体" w:cs="Arial"/>
                <w:color w:val="auto"/>
                <w:szCs w:val="21"/>
              </w:rPr>
            </w:pPr>
            <w:r>
              <w:rPr>
                <w:rFonts w:hint="eastAsia" w:ascii="宋体" w:hAnsi="宋体" w:cs="Arial"/>
                <w:color w:val="auto"/>
                <w:szCs w:val="21"/>
              </w:rPr>
              <w:t>放行</w:t>
            </w:r>
          </w:p>
          <w:p>
            <w:pPr>
              <w:rPr>
                <w:rFonts w:ascii="宋体" w:hAnsi="宋体" w:cs="Arial"/>
                <w:color w:val="auto"/>
                <w:szCs w:val="21"/>
              </w:rPr>
            </w:pPr>
          </w:p>
        </w:tc>
        <w:tc>
          <w:tcPr>
            <w:tcW w:w="960" w:type="dxa"/>
          </w:tcPr>
          <w:p>
            <w:pPr>
              <w:rPr>
                <w:rFonts w:hint="eastAsia" w:ascii="宋体" w:hAnsi="宋体" w:cs="Arial"/>
                <w:color w:val="auto"/>
                <w:szCs w:val="21"/>
              </w:rPr>
            </w:pPr>
            <w:r>
              <w:rPr>
                <w:rFonts w:hint="eastAsia" w:ascii="宋体" w:hAnsi="宋体" w:cs="Arial"/>
                <w:color w:val="auto"/>
                <w:szCs w:val="21"/>
              </w:rPr>
              <w:t>Q:8.5.1</w:t>
            </w:r>
          </w:p>
          <w:p>
            <w:pPr>
              <w:rPr>
                <w:rFonts w:hint="eastAsia" w:ascii="宋体" w:hAnsi="宋体" w:cs="Arial"/>
                <w:color w:val="auto"/>
                <w:szCs w:val="21"/>
              </w:rPr>
            </w:pPr>
          </w:p>
          <w:p>
            <w:pPr>
              <w:pStyle w:val="14"/>
              <w:rPr>
                <w:rFonts w:hint="eastAsia" w:ascii="宋体" w:hAnsi="宋体" w:cs="Arial"/>
                <w:color w:val="auto"/>
                <w:szCs w:val="21"/>
              </w:rPr>
            </w:pPr>
          </w:p>
          <w:p>
            <w:pPr>
              <w:pStyle w:val="14"/>
              <w:rPr>
                <w:rFonts w:hint="eastAsia" w:ascii="宋体" w:hAnsi="宋体" w:cs="Arial"/>
                <w:color w:val="auto"/>
                <w:szCs w:val="21"/>
              </w:rPr>
            </w:pPr>
          </w:p>
          <w:p>
            <w:pPr>
              <w:pStyle w:val="14"/>
              <w:rPr>
                <w:rFonts w:hint="eastAsia" w:ascii="宋体" w:hAnsi="宋体" w:cs="Arial"/>
                <w:color w:val="auto"/>
                <w:szCs w:val="21"/>
              </w:rPr>
            </w:pPr>
          </w:p>
          <w:p>
            <w:pPr>
              <w:rPr>
                <w:rFonts w:hint="eastAsia" w:eastAsia="宋体"/>
                <w:color w:val="auto"/>
                <w:lang w:val="en-US" w:eastAsia="zh-CN"/>
              </w:rPr>
            </w:pPr>
            <w:r>
              <w:rPr>
                <w:rFonts w:hint="eastAsia" w:ascii="宋体" w:hAnsi="宋体" w:cs="Arial"/>
                <w:color w:val="auto"/>
                <w:szCs w:val="21"/>
              </w:rPr>
              <w:t>Q:8.</w:t>
            </w:r>
            <w:r>
              <w:rPr>
                <w:rFonts w:hint="eastAsia" w:ascii="宋体" w:hAnsi="宋体" w:cs="Arial"/>
                <w:color w:val="auto"/>
                <w:szCs w:val="21"/>
                <w:lang w:val="en-US" w:eastAsia="zh-CN"/>
              </w:rPr>
              <w:t>6</w:t>
            </w:r>
          </w:p>
          <w:p>
            <w:pPr>
              <w:rPr>
                <w:rFonts w:ascii="宋体" w:hAnsi="宋体" w:cs="Arial"/>
                <w:color w:val="auto"/>
                <w:szCs w:val="21"/>
              </w:rPr>
            </w:pPr>
          </w:p>
          <w:p>
            <w:pPr>
              <w:rPr>
                <w:rFonts w:ascii="宋体" w:hAnsi="宋体" w:cs="Arial"/>
                <w:color w:val="auto"/>
                <w:szCs w:val="21"/>
              </w:rPr>
            </w:pPr>
          </w:p>
        </w:tc>
        <w:tc>
          <w:tcPr>
            <w:tcW w:w="10004" w:type="dxa"/>
            <w:vAlign w:val="center"/>
          </w:tcPr>
          <w:p>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lang w:val="en-US" w:eastAsia="zh-CN"/>
              </w:rPr>
              <w:t>油田钻采技术开发及技术服务</w:t>
            </w:r>
            <w:r>
              <w:rPr>
                <w:rFonts w:hint="eastAsia"/>
                <w:color w:val="auto"/>
                <w:sz w:val="21"/>
                <w:szCs w:val="21"/>
                <w:lang w:val="en-US" w:eastAsia="zh-CN"/>
              </w:rPr>
              <w:t>,</w:t>
            </w:r>
            <w:r>
              <w:rPr>
                <w:rFonts w:hint="eastAsia" w:ascii="宋体" w:hAnsi="宋体" w:cs="宋体"/>
                <w:color w:val="auto"/>
                <w:sz w:val="21"/>
                <w:szCs w:val="21"/>
              </w:rPr>
              <w:t>基本流程：</w:t>
            </w:r>
          </w:p>
          <w:p>
            <w:pPr>
              <w:spacing w:line="360" w:lineRule="auto"/>
              <w:ind w:left="420" w:leftChars="200"/>
              <w:rPr>
                <w:rFonts w:hint="default" w:ascii="宋体" w:hAnsi="宋体" w:cs="宋体"/>
                <w:color w:val="auto"/>
                <w:sz w:val="21"/>
                <w:szCs w:val="21"/>
                <w:lang w:val="en-US"/>
              </w:rPr>
            </w:pPr>
            <w:r>
              <w:rPr>
                <w:rFonts w:hint="eastAsia"/>
                <w:b w:val="0"/>
                <w:bCs/>
                <w:color w:val="auto"/>
                <w:sz w:val="20"/>
                <w:szCs w:val="22"/>
              </w:rPr>
              <w:t>项目立项→需求调研/分析→成果设计/实施服务→客户测试验收</w:t>
            </w:r>
            <w:r>
              <w:rPr>
                <w:rFonts w:hint="eastAsia" w:ascii="宋体" w:hAnsi="宋体" w:eastAsia="宋体" w:cs="宋体"/>
                <w:color w:val="auto"/>
                <w:sz w:val="21"/>
                <w:szCs w:val="21"/>
                <w:lang w:val="en-US" w:eastAsia="zh-CN"/>
              </w:rPr>
              <w:t>。</w:t>
            </w:r>
            <w:r>
              <w:rPr>
                <w:rFonts w:hint="eastAsia" w:ascii="宋体" w:hAnsi="宋体" w:cs="宋体"/>
                <w:color w:val="auto"/>
                <w:sz w:val="21"/>
                <w:szCs w:val="21"/>
                <w:lang w:val="en-US" w:eastAsia="zh-CN"/>
              </w:rPr>
              <w:t>油田钻采技术开发过程见8.3条款。以下为技术服务过程。</w:t>
            </w:r>
          </w:p>
          <w:p>
            <w:pPr>
              <w:keepNext w:val="0"/>
              <w:keepLines w:val="0"/>
              <w:suppressLineNumbers w:val="0"/>
              <w:spacing w:before="0" w:beforeAutospacing="0" w:after="0" w:afterAutospacing="0" w:line="360" w:lineRule="auto"/>
              <w:ind w:left="0" w:right="0" w:firstLine="420" w:firstLineChars="200"/>
              <w:rPr>
                <w:rFonts w:hint="eastAsia" w:asciiTheme="minorEastAsia" w:hAnsiTheme="minorEastAsia" w:eastAsiaTheme="minorEastAsia" w:cstheme="minorEastAsia"/>
                <w:color w:val="auto"/>
                <w:sz w:val="21"/>
                <w:szCs w:val="21"/>
              </w:rPr>
            </w:pPr>
            <w:r>
              <w:rPr>
                <w:color w:val="auto"/>
              </w:rPr>
              <w:drawing>
                <wp:anchor distT="0" distB="0" distL="114300" distR="114300" simplePos="0" relativeHeight="252337152" behindDoc="0" locked="0" layoutInCell="1" allowOverlap="1">
                  <wp:simplePos x="0" y="0"/>
                  <wp:positionH relativeFrom="column">
                    <wp:posOffset>4146550</wp:posOffset>
                  </wp:positionH>
                  <wp:positionV relativeFrom="paragraph">
                    <wp:posOffset>591820</wp:posOffset>
                  </wp:positionV>
                  <wp:extent cx="1597025" cy="2202815"/>
                  <wp:effectExtent l="0" t="0" r="3175" b="6985"/>
                  <wp:wrapNone/>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9"/>
                          <a:stretch>
                            <a:fillRect/>
                          </a:stretch>
                        </pic:blipFill>
                        <pic:spPr>
                          <a:xfrm>
                            <a:off x="0" y="0"/>
                            <a:ext cx="1597025" cy="2202815"/>
                          </a:xfrm>
                          <a:prstGeom prst="rect">
                            <a:avLst/>
                          </a:prstGeom>
                          <a:noFill/>
                          <a:ln>
                            <a:noFill/>
                          </a:ln>
                        </pic:spPr>
                      </pic:pic>
                    </a:graphicData>
                  </a:graphic>
                </wp:anchor>
              </w:drawing>
            </w:r>
            <w:r>
              <w:rPr>
                <w:color w:val="auto"/>
              </w:rPr>
              <w:drawing>
                <wp:anchor distT="0" distB="0" distL="114300" distR="114300" simplePos="0" relativeHeight="252336128" behindDoc="0" locked="0" layoutInCell="1" allowOverlap="1">
                  <wp:simplePos x="0" y="0"/>
                  <wp:positionH relativeFrom="column">
                    <wp:posOffset>2266950</wp:posOffset>
                  </wp:positionH>
                  <wp:positionV relativeFrom="paragraph">
                    <wp:posOffset>585470</wp:posOffset>
                  </wp:positionV>
                  <wp:extent cx="1553845" cy="2191385"/>
                  <wp:effectExtent l="0" t="0" r="8255" b="5715"/>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0"/>
                          <a:stretch>
                            <a:fillRect/>
                          </a:stretch>
                        </pic:blipFill>
                        <pic:spPr>
                          <a:xfrm>
                            <a:off x="0" y="0"/>
                            <a:ext cx="1553845" cy="2191385"/>
                          </a:xfrm>
                          <a:prstGeom prst="rect">
                            <a:avLst/>
                          </a:prstGeom>
                          <a:noFill/>
                          <a:ln>
                            <a:noFill/>
                          </a:ln>
                        </pic:spPr>
                      </pic:pic>
                    </a:graphicData>
                  </a:graphic>
                </wp:anchor>
              </w:drawing>
            </w:r>
            <w:r>
              <w:rPr>
                <w:color w:val="auto"/>
              </w:rPr>
              <w:drawing>
                <wp:anchor distT="0" distB="0" distL="114300" distR="114300" simplePos="0" relativeHeight="252335104" behindDoc="0" locked="0" layoutInCell="1" allowOverlap="1">
                  <wp:simplePos x="0" y="0"/>
                  <wp:positionH relativeFrom="column">
                    <wp:posOffset>336550</wp:posOffset>
                  </wp:positionH>
                  <wp:positionV relativeFrom="paragraph">
                    <wp:posOffset>572135</wp:posOffset>
                  </wp:positionV>
                  <wp:extent cx="1618615" cy="2178685"/>
                  <wp:effectExtent l="0" t="0" r="6985" b="5715"/>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1"/>
                          <a:stretch>
                            <a:fillRect/>
                          </a:stretch>
                        </pic:blipFill>
                        <pic:spPr>
                          <a:xfrm>
                            <a:off x="0" y="0"/>
                            <a:ext cx="1618615" cy="2178685"/>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1"/>
                <w:szCs w:val="21"/>
              </w:rPr>
              <w:t>查看</w:t>
            </w:r>
            <w:r>
              <w:rPr>
                <w:rFonts w:hint="eastAsia" w:asciiTheme="minorEastAsia" w:hAnsiTheme="minorEastAsia" w:eastAsiaTheme="minorEastAsia" w:cstheme="minorEastAsia"/>
                <w:color w:val="auto"/>
                <w:sz w:val="21"/>
                <w:szCs w:val="21"/>
                <w:lang w:val="en-US" w:eastAsia="zh-CN"/>
              </w:rPr>
              <w:t>公司与客户中海油能源发展股份有限公司山西分公司签订的《培训服务合同》</w:t>
            </w:r>
            <w:r>
              <w:rPr>
                <w:rFonts w:hint="eastAsia" w:asciiTheme="minorEastAsia" w:hAnsiTheme="minorEastAsia" w:eastAsiaTheme="minorEastAsia" w:cstheme="minorEastAsia"/>
                <w:color w:val="auto"/>
                <w:sz w:val="21"/>
                <w:szCs w:val="21"/>
              </w:rPr>
              <w:t>，规定了</w:t>
            </w:r>
            <w:r>
              <w:rPr>
                <w:rFonts w:hint="eastAsia" w:asciiTheme="minorEastAsia" w:hAnsiTheme="minorEastAsia" w:eastAsiaTheme="minorEastAsia" w:cstheme="minorEastAsia"/>
                <w:color w:val="auto"/>
                <w:sz w:val="21"/>
                <w:szCs w:val="21"/>
                <w:lang w:val="en-US" w:eastAsia="zh-CN"/>
              </w:rPr>
              <w:t>企业为甲方提供压裂设计高级班培训</w:t>
            </w:r>
            <w:r>
              <w:rPr>
                <w:rFonts w:hint="eastAsia" w:asciiTheme="minorEastAsia" w:hAnsiTheme="minorEastAsia" w:eastAsiaTheme="minorEastAsia" w:cstheme="minorEastAsia"/>
                <w:color w:val="auto"/>
                <w:sz w:val="21"/>
                <w:szCs w:val="21"/>
              </w:rPr>
              <w:t>。</w:t>
            </w: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eastAsia" w:asciiTheme="minorEastAsia" w:hAnsiTheme="minorEastAsia" w:eastAsiaTheme="minorEastAsia" w:cstheme="minorEastAsia"/>
                <w:color w:val="auto"/>
                <w:sz w:val="21"/>
                <w:szCs w:val="21"/>
              </w:rPr>
            </w:pPr>
          </w:p>
          <w:p>
            <w:pPr>
              <w:pStyle w:val="2"/>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合同详见附件。</w:t>
            </w:r>
          </w:p>
          <w:p>
            <w:pPr>
              <w:spacing w:line="360" w:lineRule="auto"/>
              <w:ind w:firstLine="420" w:firstLineChars="200"/>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因国内疫情影响，本次培训采用腾讯会议远程培训的方式进行。</w:t>
            </w:r>
          </w:p>
          <w:p>
            <w:pPr>
              <w:spacing w:line="480" w:lineRule="auto"/>
              <w:ind w:firstLine="420" w:firstLineChars="200"/>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课程重</w:t>
            </w:r>
            <w:r>
              <w:rPr>
                <w:rFonts w:hint="eastAsia" w:ascii="宋体" w:hAnsi="宋体" w:eastAsia="宋体" w:cs="宋体"/>
                <w:color w:val="auto"/>
                <w:kern w:val="0"/>
                <w:sz w:val="21"/>
                <w:szCs w:val="21"/>
                <w:highlight w:val="none"/>
                <w:lang w:val="en-US" w:eastAsia="zh-CN"/>
              </w:rPr>
              <w:t>点包括：1、一趟管柱工具完成定位、封隔、射孔、压裂任务。级间转换速度快；压后工具起出井筒后全通径；处理砂堵能力强；单级单簇，实现精准压裂等；2、管柱结构（自下而上）：引鞋+机械定位器+封隔器+循环阀+短接+喷枪+球座+扶正器+丢手接头+连接器+连续油管至井口；3、要求压裂液体系与地层流体具有良好的配伍性；为减少压裂液对裂缝及油气的伤害，要求残渣含量要低；同时该区地层温度较低，要求压裂液具有良好的破胶性能；4、分段设计采取以下原则：1）根据录井、测井、地质解释优选显示好的位置。2）喷射点的选择要根据声幅曲线结果选择固井质量好的井段。3）喷射点及封隔器座封位置避开套管节箍（喷射点距离上部套管节箍大于3.0 m，喷射点距离下部节箍位置大于5.0m）。</w:t>
            </w:r>
          </w:p>
          <w:p>
            <w:pPr>
              <w:keepNext w:val="0"/>
              <w:keepLines w:val="0"/>
              <w:suppressLineNumbers w:val="0"/>
              <w:tabs>
                <w:tab w:val="left" w:pos="-52"/>
              </w:tabs>
              <w:spacing w:before="0" w:beforeAutospacing="0" w:after="0" w:afterAutospacing="0" w:line="480" w:lineRule="auto"/>
              <w:ind w:right="0"/>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查看了培训教材：</w:t>
            </w:r>
          </w:p>
          <w:p>
            <w:pPr>
              <w:pStyle w:val="2"/>
              <w:rPr>
                <w:rFonts w:hint="eastAsia"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drawing>
                <wp:anchor distT="0" distB="0" distL="114300" distR="114300" simplePos="0" relativeHeight="252338176" behindDoc="0" locked="0" layoutInCell="1" allowOverlap="1">
                  <wp:simplePos x="0" y="0"/>
                  <wp:positionH relativeFrom="column">
                    <wp:posOffset>33020</wp:posOffset>
                  </wp:positionH>
                  <wp:positionV relativeFrom="paragraph">
                    <wp:posOffset>115570</wp:posOffset>
                  </wp:positionV>
                  <wp:extent cx="2933700" cy="1674495"/>
                  <wp:effectExtent l="0" t="0" r="0" b="1905"/>
                  <wp:wrapNone/>
                  <wp:docPr id="31" name="图片 31" descr="1612687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12687129(1)"/>
                          <pic:cNvPicPr>
                            <a:picLocks noChangeAspect="1"/>
                          </pic:cNvPicPr>
                        </pic:nvPicPr>
                        <pic:blipFill>
                          <a:blip r:embed="rId12"/>
                          <a:stretch>
                            <a:fillRect/>
                          </a:stretch>
                        </pic:blipFill>
                        <pic:spPr>
                          <a:xfrm>
                            <a:off x="0" y="0"/>
                            <a:ext cx="2933700" cy="1674495"/>
                          </a:xfrm>
                          <a:prstGeom prst="rect">
                            <a:avLst/>
                          </a:prstGeom>
                        </pic:spPr>
                      </pic:pic>
                    </a:graphicData>
                  </a:graphic>
                </wp:anchor>
              </w:drawing>
            </w:r>
            <w:r>
              <w:rPr>
                <w:rFonts w:hint="eastAsia" w:ascii="宋体" w:hAnsi="宋体" w:cs="宋体"/>
                <w:color w:val="auto"/>
                <w:kern w:val="0"/>
                <w:sz w:val="21"/>
                <w:szCs w:val="21"/>
                <w:highlight w:val="none"/>
                <w:lang w:val="en-US" w:eastAsia="zh-CN"/>
              </w:rPr>
              <w:drawing>
                <wp:anchor distT="0" distB="0" distL="114300" distR="114300" simplePos="0" relativeHeight="252339200" behindDoc="0" locked="0" layoutInCell="1" allowOverlap="1">
                  <wp:simplePos x="0" y="0"/>
                  <wp:positionH relativeFrom="column">
                    <wp:posOffset>3074670</wp:posOffset>
                  </wp:positionH>
                  <wp:positionV relativeFrom="paragraph">
                    <wp:posOffset>123825</wp:posOffset>
                  </wp:positionV>
                  <wp:extent cx="3133725" cy="1656715"/>
                  <wp:effectExtent l="0" t="0" r="3175" b="6985"/>
                  <wp:wrapNone/>
                  <wp:docPr id="32" name="图片 32" descr="161268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12687174(1)"/>
                          <pic:cNvPicPr>
                            <a:picLocks noChangeAspect="1"/>
                          </pic:cNvPicPr>
                        </pic:nvPicPr>
                        <pic:blipFill>
                          <a:blip r:embed="rId13"/>
                          <a:stretch>
                            <a:fillRect/>
                          </a:stretch>
                        </pic:blipFill>
                        <pic:spPr>
                          <a:xfrm>
                            <a:off x="0" y="0"/>
                            <a:ext cx="3133725" cy="1656715"/>
                          </a:xfrm>
                          <a:prstGeom prst="rect">
                            <a:avLst/>
                          </a:prstGeom>
                        </pic:spPr>
                      </pic:pic>
                    </a:graphicData>
                  </a:graphic>
                </wp:anchor>
              </w:drawing>
            </w:r>
          </w:p>
          <w:p>
            <w:pPr>
              <w:pStyle w:val="3"/>
              <w:rPr>
                <w:rFonts w:hint="eastAsia" w:ascii="宋体" w:hAnsi="宋体" w:cs="宋体"/>
                <w:color w:val="auto"/>
                <w:kern w:val="0"/>
                <w:sz w:val="21"/>
                <w:szCs w:val="21"/>
                <w:highlight w:val="none"/>
                <w:lang w:val="en-US" w:eastAsia="zh-CN"/>
              </w:rPr>
            </w:pPr>
          </w:p>
          <w:p>
            <w:pPr>
              <w:pStyle w:val="5"/>
              <w:rPr>
                <w:rFonts w:hint="eastAsia" w:ascii="宋体" w:hAnsi="宋体" w:cs="宋体"/>
                <w:color w:val="auto"/>
                <w:kern w:val="0"/>
                <w:sz w:val="21"/>
                <w:szCs w:val="21"/>
                <w:highlight w:val="none"/>
                <w:lang w:val="en-US" w:eastAsia="zh-CN"/>
              </w:rPr>
            </w:pPr>
          </w:p>
          <w:p>
            <w:pPr>
              <w:rPr>
                <w:rFonts w:hint="eastAsia" w:ascii="宋体" w:hAnsi="宋体" w:cs="宋体"/>
                <w:color w:val="auto"/>
                <w:kern w:val="0"/>
                <w:sz w:val="21"/>
                <w:szCs w:val="21"/>
                <w:highlight w:val="none"/>
                <w:lang w:val="en-US" w:eastAsia="zh-CN"/>
              </w:rPr>
            </w:pPr>
          </w:p>
          <w:p>
            <w:pPr>
              <w:pStyle w:val="2"/>
              <w:rPr>
                <w:rFonts w:hint="eastAsia" w:ascii="宋体" w:hAnsi="宋体" w:cs="宋体"/>
                <w:color w:val="auto"/>
                <w:kern w:val="0"/>
                <w:sz w:val="21"/>
                <w:szCs w:val="21"/>
                <w:highlight w:val="none"/>
                <w:lang w:val="en-US" w:eastAsia="zh-CN"/>
              </w:rPr>
            </w:pPr>
          </w:p>
          <w:p>
            <w:pPr>
              <w:pStyle w:val="3"/>
              <w:rPr>
                <w:rFonts w:hint="eastAsia" w:ascii="宋体" w:hAnsi="宋体" w:cs="宋体"/>
                <w:color w:val="auto"/>
                <w:kern w:val="0"/>
                <w:sz w:val="21"/>
                <w:szCs w:val="21"/>
                <w:highlight w:val="none"/>
                <w:lang w:val="en-US" w:eastAsia="zh-CN"/>
              </w:rPr>
            </w:pPr>
          </w:p>
          <w:p>
            <w:pPr>
              <w:pStyle w:val="5"/>
              <w:rPr>
                <w:rFonts w:hint="eastAsia" w:ascii="宋体" w:hAnsi="宋体" w:cs="宋体"/>
                <w:color w:val="auto"/>
                <w:kern w:val="0"/>
                <w:sz w:val="21"/>
                <w:szCs w:val="21"/>
                <w:highlight w:val="none"/>
                <w:lang w:val="en-US" w:eastAsia="zh-CN"/>
              </w:rPr>
            </w:pP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color w:val="auto"/>
                <w:kern w:val="0"/>
                <w:sz w:val="21"/>
                <w:szCs w:val="21"/>
                <w:highlight w:val="none"/>
                <w:lang w:val="en-US" w:eastAsia="zh-CN"/>
              </w:rPr>
            </w:pP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 xml:space="preserve"> </w:t>
            </w: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color w:val="auto"/>
                <w:kern w:val="0"/>
                <w:sz w:val="21"/>
                <w:szCs w:val="21"/>
                <w:highlight w:val="none"/>
                <w:lang w:val="en-US" w:eastAsia="zh-CN"/>
              </w:rPr>
            </w:pPr>
          </w:p>
          <w:p>
            <w:pPr>
              <w:keepNext w:val="0"/>
              <w:keepLines w:val="0"/>
              <w:suppressLineNumbers w:val="0"/>
              <w:tabs>
                <w:tab w:val="left" w:pos="-52"/>
              </w:tabs>
              <w:spacing w:before="0" w:beforeAutospacing="0" w:after="0" w:afterAutospacing="0" w:line="360" w:lineRule="auto"/>
              <w:ind w:right="0"/>
              <w:rPr>
                <w:rFonts w:hint="eastAsia" w:ascii="宋体" w:hAnsi="宋体" w:eastAsia="宋体" w:cs="宋体"/>
                <w:color w:val="auto"/>
                <w:kern w:val="0"/>
                <w:sz w:val="21"/>
                <w:szCs w:val="21"/>
                <w:highlight w:val="none"/>
                <w:lang w:val="en-US" w:eastAsia="zh-CN"/>
              </w:rPr>
            </w:pPr>
          </w:p>
          <w:p>
            <w:pPr>
              <w:keepNext w:val="0"/>
              <w:keepLines w:val="0"/>
              <w:suppressLineNumbers w:val="0"/>
              <w:tabs>
                <w:tab w:val="left" w:pos="-52"/>
              </w:tabs>
              <w:spacing w:before="0" w:beforeAutospacing="0" w:after="0" w:afterAutospacing="0" w:line="360" w:lineRule="auto"/>
              <w:ind w:right="0"/>
              <w:rPr>
                <w:rFonts w:hint="eastAsia"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提供的</w:t>
            </w:r>
            <w:r>
              <w:rPr>
                <w:rFonts w:hint="eastAsia" w:ascii="宋体" w:hAnsi="宋体" w:cs="宋体"/>
                <w:color w:val="auto"/>
                <w:kern w:val="0"/>
                <w:sz w:val="21"/>
                <w:szCs w:val="21"/>
                <w:highlight w:val="none"/>
                <w:lang w:val="en-US" w:eastAsia="zh-CN"/>
              </w:rPr>
              <w:t>腾讯会议培训过程截屏：</w:t>
            </w:r>
          </w:p>
          <w:p>
            <w:pPr>
              <w:pStyle w:val="2"/>
              <w:rPr>
                <w:rFonts w:hint="eastAsia" w:ascii="宋体" w:hAnsi="宋体" w:cs="宋体"/>
                <w:color w:val="auto"/>
                <w:kern w:val="0"/>
                <w:sz w:val="21"/>
                <w:szCs w:val="21"/>
                <w:highlight w:val="none"/>
                <w:lang w:val="en-US" w:eastAsia="zh-CN"/>
              </w:rPr>
            </w:pPr>
            <w:r>
              <w:rPr>
                <w:color w:val="auto"/>
              </w:rPr>
              <w:drawing>
                <wp:anchor distT="0" distB="0" distL="114300" distR="114300" simplePos="0" relativeHeight="252341248" behindDoc="0" locked="0" layoutInCell="1" allowOverlap="1">
                  <wp:simplePos x="0" y="0"/>
                  <wp:positionH relativeFrom="column">
                    <wp:posOffset>3016250</wp:posOffset>
                  </wp:positionH>
                  <wp:positionV relativeFrom="paragraph">
                    <wp:posOffset>41910</wp:posOffset>
                  </wp:positionV>
                  <wp:extent cx="3173095" cy="1527175"/>
                  <wp:effectExtent l="0" t="0" r="1905" b="9525"/>
                  <wp:wrapNone/>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4"/>
                          <a:stretch>
                            <a:fillRect/>
                          </a:stretch>
                        </pic:blipFill>
                        <pic:spPr>
                          <a:xfrm>
                            <a:off x="0" y="0"/>
                            <a:ext cx="3173095" cy="1527175"/>
                          </a:xfrm>
                          <a:prstGeom prst="rect">
                            <a:avLst/>
                          </a:prstGeom>
                          <a:noFill/>
                          <a:ln>
                            <a:noFill/>
                          </a:ln>
                        </pic:spPr>
                      </pic:pic>
                    </a:graphicData>
                  </a:graphic>
                </wp:anchor>
              </w:drawing>
            </w:r>
            <w:r>
              <w:rPr>
                <w:color w:val="auto"/>
              </w:rPr>
              <w:drawing>
                <wp:anchor distT="0" distB="0" distL="114300" distR="114300" simplePos="0" relativeHeight="252340224" behindDoc="0" locked="0" layoutInCell="1" allowOverlap="1">
                  <wp:simplePos x="0" y="0"/>
                  <wp:positionH relativeFrom="column">
                    <wp:posOffset>-12700</wp:posOffset>
                  </wp:positionH>
                  <wp:positionV relativeFrom="paragraph">
                    <wp:posOffset>27305</wp:posOffset>
                  </wp:positionV>
                  <wp:extent cx="2950845" cy="1537970"/>
                  <wp:effectExtent l="0" t="0" r="8255" b="11430"/>
                  <wp:wrapNone/>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15"/>
                          <a:stretch>
                            <a:fillRect/>
                          </a:stretch>
                        </pic:blipFill>
                        <pic:spPr>
                          <a:xfrm>
                            <a:off x="0" y="0"/>
                            <a:ext cx="2950845" cy="1537970"/>
                          </a:xfrm>
                          <a:prstGeom prst="rect">
                            <a:avLst/>
                          </a:prstGeom>
                          <a:noFill/>
                          <a:ln>
                            <a:noFill/>
                          </a:ln>
                        </pic:spPr>
                      </pic:pic>
                    </a:graphicData>
                  </a:graphic>
                </wp:anchor>
              </w:drawing>
            </w:r>
          </w:p>
          <w:p>
            <w:pPr>
              <w:pStyle w:val="3"/>
              <w:rPr>
                <w:rFonts w:hint="eastAsia" w:ascii="宋体" w:hAnsi="宋体" w:cs="宋体"/>
                <w:color w:val="auto"/>
                <w:kern w:val="0"/>
                <w:sz w:val="21"/>
                <w:szCs w:val="21"/>
                <w:highlight w:val="none"/>
                <w:lang w:val="en-US" w:eastAsia="zh-CN"/>
              </w:rPr>
            </w:pPr>
          </w:p>
          <w:p>
            <w:pPr>
              <w:pStyle w:val="5"/>
              <w:rPr>
                <w:rFonts w:hint="eastAsia" w:ascii="宋体" w:hAnsi="宋体" w:cs="宋体"/>
                <w:color w:val="auto"/>
                <w:kern w:val="0"/>
                <w:sz w:val="21"/>
                <w:szCs w:val="21"/>
                <w:highlight w:val="none"/>
                <w:lang w:val="en-US" w:eastAsia="zh-CN"/>
              </w:rPr>
            </w:pPr>
          </w:p>
          <w:p>
            <w:pPr>
              <w:rPr>
                <w:rFonts w:hint="eastAsia" w:ascii="宋体" w:hAnsi="宋体" w:cs="宋体"/>
                <w:color w:val="auto"/>
                <w:kern w:val="0"/>
                <w:sz w:val="21"/>
                <w:szCs w:val="21"/>
                <w:highlight w:val="none"/>
                <w:lang w:val="en-US" w:eastAsia="zh-CN"/>
              </w:rPr>
            </w:pPr>
          </w:p>
          <w:p>
            <w:pPr>
              <w:pStyle w:val="2"/>
              <w:rPr>
                <w:rFonts w:hint="eastAsia" w:ascii="宋体" w:hAnsi="宋体" w:cs="宋体"/>
                <w:color w:val="auto"/>
                <w:kern w:val="0"/>
                <w:sz w:val="21"/>
                <w:szCs w:val="21"/>
                <w:highlight w:val="none"/>
                <w:lang w:val="en-US" w:eastAsia="zh-CN"/>
              </w:rPr>
            </w:pPr>
          </w:p>
          <w:p>
            <w:pPr>
              <w:pStyle w:val="3"/>
              <w:rPr>
                <w:rFonts w:hint="eastAsia" w:ascii="宋体" w:hAnsi="宋体" w:cs="宋体"/>
                <w:color w:val="auto"/>
                <w:kern w:val="0"/>
                <w:sz w:val="21"/>
                <w:szCs w:val="21"/>
                <w:highlight w:val="none"/>
                <w:lang w:val="en-US" w:eastAsia="zh-CN"/>
              </w:rPr>
            </w:pPr>
          </w:p>
          <w:p>
            <w:pPr>
              <w:pStyle w:val="5"/>
              <w:rPr>
                <w:rFonts w:hint="eastAsia" w:ascii="宋体" w:hAnsi="宋体" w:cs="宋体"/>
                <w:color w:val="auto"/>
                <w:kern w:val="0"/>
                <w:sz w:val="21"/>
                <w:szCs w:val="21"/>
                <w:highlight w:val="none"/>
                <w:lang w:val="en-US" w:eastAsia="zh-CN"/>
              </w:rPr>
            </w:pPr>
          </w:p>
          <w:p>
            <w:pPr>
              <w:rPr>
                <w:rFonts w:hint="default"/>
                <w:color w:val="auto"/>
                <w:lang w:val="en-US" w:eastAsia="zh-CN"/>
              </w:rPr>
            </w:pPr>
          </w:p>
          <w:p>
            <w:pPr>
              <w:keepNext w:val="0"/>
              <w:keepLines w:val="0"/>
              <w:suppressLineNumbers w:val="0"/>
              <w:tabs>
                <w:tab w:val="left" w:pos="-52"/>
              </w:tabs>
              <w:spacing w:before="0" w:beforeAutospacing="0" w:after="0" w:afterAutospacing="0" w:line="360" w:lineRule="auto"/>
              <w:ind w:right="0"/>
              <w:rPr>
                <w:rFonts w:hint="eastAsia" w:ascii="宋体" w:hAnsi="宋体" w:cs="宋体"/>
                <w:color w:val="auto"/>
                <w:kern w:val="0"/>
                <w:sz w:val="21"/>
                <w:szCs w:val="21"/>
                <w:highlight w:val="none"/>
                <w:lang w:val="en-US" w:eastAsia="zh-CN"/>
              </w:rPr>
            </w:pPr>
            <w:r>
              <w:rPr>
                <w:color w:val="auto"/>
              </w:rPr>
              <w:drawing>
                <wp:anchor distT="0" distB="0" distL="114300" distR="114300" simplePos="0" relativeHeight="252343296" behindDoc="0" locked="0" layoutInCell="1" allowOverlap="1">
                  <wp:simplePos x="0" y="0"/>
                  <wp:positionH relativeFrom="column">
                    <wp:posOffset>4267200</wp:posOffset>
                  </wp:positionH>
                  <wp:positionV relativeFrom="paragraph">
                    <wp:posOffset>532765</wp:posOffset>
                  </wp:positionV>
                  <wp:extent cx="1676400" cy="2337435"/>
                  <wp:effectExtent l="0" t="0" r="0" b="12065"/>
                  <wp:wrapNone/>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6"/>
                          <a:stretch>
                            <a:fillRect/>
                          </a:stretch>
                        </pic:blipFill>
                        <pic:spPr>
                          <a:xfrm>
                            <a:off x="0" y="0"/>
                            <a:ext cx="1676400" cy="233743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val="en-US" w:eastAsia="zh-CN"/>
              </w:rPr>
              <w:t xml:space="preserve">   </w:t>
            </w:r>
            <w:r>
              <w:rPr>
                <w:rFonts w:hint="eastAsia" w:ascii="宋体" w:hAnsi="宋体" w:cs="宋体"/>
                <w:color w:val="auto"/>
                <w:kern w:val="0"/>
                <w:sz w:val="21"/>
                <w:szCs w:val="21"/>
                <w:highlight w:val="none"/>
                <w:lang w:val="en-US" w:eastAsia="zh-CN"/>
              </w:rPr>
              <w:t>据企业技术部经理张学锋表示，甲方中海油能源发展股份有限公司山西分公司对本次培训效果比较满意，培训完成后进行了付款，查到付款发票以及培训签到表：</w:t>
            </w:r>
          </w:p>
          <w:p>
            <w:pPr>
              <w:pStyle w:val="2"/>
              <w:rPr>
                <w:rFonts w:hint="eastAsia" w:ascii="宋体" w:hAnsi="宋体" w:cs="宋体"/>
                <w:color w:val="auto"/>
                <w:kern w:val="0"/>
                <w:sz w:val="21"/>
                <w:szCs w:val="21"/>
                <w:highlight w:val="none"/>
                <w:lang w:val="en-US" w:eastAsia="zh-CN"/>
              </w:rPr>
            </w:pPr>
            <w:r>
              <w:rPr>
                <w:color w:val="auto"/>
              </w:rPr>
              <w:drawing>
                <wp:anchor distT="0" distB="0" distL="114300" distR="114300" simplePos="0" relativeHeight="252342272" behindDoc="0" locked="0" layoutInCell="1" allowOverlap="1">
                  <wp:simplePos x="0" y="0"/>
                  <wp:positionH relativeFrom="column">
                    <wp:posOffset>203200</wp:posOffset>
                  </wp:positionH>
                  <wp:positionV relativeFrom="paragraph">
                    <wp:posOffset>156845</wp:posOffset>
                  </wp:positionV>
                  <wp:extent cx="3746500" cy="1967865"/>
                  <wp:effectExtent l="0" t="0" r="0" b="635"/>
                  <wp:wrapNone/>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7"/>
                          <a:stretch>
                            <a:fillRect/>
                          </a:stretch>
                        </pic:blipFill>
                        <pic:spPr>
                          <a:xfrm>
                            <a:off x="0" y="0"/>
                            <a:ext cx="3746500" cy="1967865"/>
                          </a:xfrm>
                          <a:prstGeom prst="rect">
                            <a:avLst/>
                          </a:prstGeom>
                          <a:noFill/>
                          <a:ln>
                            <a:noFill/>
                          </a:ln>
                        </pic:spPr>
                      </pic:pic>
                    </a:graphicData>
                  </a:graphic>
                </wp:anchor>
              </w:drawing>
            </w:r>
          </w:p>
          <w:p>
            <w:pPr>
              <w:pStyle w:val="3"/>
              <w:rPr>
                <w:rFonts w:hint="eastAsia" w:ascii="宋体" w:hAnsi="宋体" w:cs="宋体"/>
                <w:color w:val="auto"/>
                <w:kern w:val="0"/>
                <w:sz w:val="21"/>
                <w:szCs w:val="21"/>
                <w:highlight w:val="none"/>
                <w:lang w:val="en-US" w:eastAsia="zh-CN"/>
              </w:rPr>
            </w:pPr>
          </w:p>
          <w:p>
            <w:pPr>
              <w:pStyle w:val="5"/>
              <w:rPr>
                <w:rFonts w:hint="eastAsia" w:ascii="宋体" w:hAnsi="宋体" w:cs="宋体"/>
                <w:color w:val="auto"/>
                <w:kern w:val="0"/>
                <w:sz w:val="21"/>
                <w:szCs w:val="21"/>
                <w:highlight w:val="none"/>
                <w:lang w:val="en-US" w:eastAsia="zh-CN"/>
              </w:rPr>
            </w:pPr>
          </w:p>
          <w:p>
            <w:pPr>
              <w:rPr>
                <w:rFonts w:hint="eastAsia" w:ascii="宋体" w:hAnsi="宋体" w:cs="宋体"/>
                <w:color w:val="auto"/>
                <w:kern w:val="0"/>
                <w:sz w:val="21"/>
                <w:szCs w:val="21"/>
                <w:highlight w:val="none"/>
                <w:lang w:val="en-US" w:eastAsia="zh-CN"/>
              </w:rPr>
            </w:pPr>
          </w:p>
          <w:p>
            <w:pPr>
              <w:pStyle w:val="2"/>
              <w:rPr>
                <w:rFonts w:hint="eastAsia" w:ascii="宋体" w:hAnsi="宋体" w:cs="宋体"/>
                <w:color w:val="auto"/>
                <w:kern w:val="0"/>
                <w:sz w:val="21"/>
                <w:szCs w:val="21"/>
                <w:highlight w:val="none"/>
                <w:lang w:val="en-US" w:eastAsia="zh-CN"/>
              </w:rPr>
            </w:pPr>
          </w:p>
          <w:p>
            <w:pPr>
              <w:pStyle w:val="3"/>
              <w:rPr>
                <w:rFonts w:hint="eastAsia" w:ascii="宋体" w:hAnsi="宋体" w:cs="宋体"/>
                <w:color w:val="auto"/>
                <w:kern w:val="0"/>
                <w:sz w:val="21"/>
                <w:szCs w:val="21"/>
                <w:highlight w:val="none"/>
                <w:lang w:val="en-US" w:eastAsia="zh-CN"/>
              </w:rPr>
            </w:pPr>
          </w:p>
          <w:p>
            <w:pPr>
              <w:pStyle w:val="5"/>
              <w:rPr>
                <w:rFonts w:hint="eastAsia" w:ascii="宋体" w:hAnsi="宋体" w:cs="宋体"/>
                <w:color w:val="auto"/>
                <w:kern w:val="0"/>
                <w:sz w:val="21"/>
                <w:szCs w:val="21"/>
                <w:highlight w:val="none"/>
                <w:lang w:val="en-US" w:eastAsia="zh-CN"/>
              </w:rPr>
            </w:pPr>
          </w:p>
          <w:p>
            <w:pPr>
              <w:rPr>
                <w:rFonts w:hint="eastAsia" w:ascii="宋体" w:hAnsi="宋体" w:cs="宋体"/>
                <w:color w:val="auto"/>
                <w:kern w:val="0"/>
                <w:sz w:val="21"/>
                <w:szCs w:val="21"/>
                <w:highlight w:val="none"/>
                <w:lang w:val="en-US" w:eastAsia="zh-CN"/>
              </w:rPr>
            </w:pPr>
          </w:p>
          <w:p>
            <w:pPr>
              <w:pStyle w:val="2"/>
              <w:rPr>
                <w:rFonts w:hint="eastAsia" w:ascii="宋体" w:hAnsi="宋体" w:cs="宋体"/>
                <w:color w:val="auto"/>
                <w:kern w:val="0"/>
                <w:sz w:val="21"/>
                <w:szCs w:val="21"/>
                <w:highlight w:val="none"/>
                <w:lang w:val="en-US" w:eastAsia="zh-CN"/>
              </w:rPr>
            </w:pPr>
          </w:p>
          <w:p>
            <w:pPr>
              <w:pStyle w:val="3"/>
              <w:rPr>
                <w:rFonts w:hint="eastAsia" w:ascii="宋体" w:hAnsi="宋体" w:cs="宋体"/>
                <w:color w:val="auto"/>
                <w:kern w:val="0"/>
                <w:sz w:val="21"/>
                <w:szCs w:val="21"/>
                <w:highlight w:val="none"/>
                <w:lang w:val="en-US" w:eastAsia="zh-CN"/>
              </w:rPr>
            </w:pPr>
          </w:p>
          <w:p>
            <w:pPr>
              <w:pStyle w:val="5"/>
              <w:rPr>
                <w:rFonts w:hint="eastAsia"/>
                <w:color w:val="auto"/>
                <w:lang w:val="en-US" w:eastAsia="zh-CN"/>
              </w:rPr>
            </w:pPr>
          </w:p>
          <w:p>
            <w:pPr>
              <w:pStyle w:val="14"/>
              <w:ind w:left="0" w:leftChars="0" w:firstLine="420" w:firstLineChars="200"/>
              <w:rPr>
                <w:color w:val="auto"/>
                <w:sz w:val="21"/>
                <w:szCs w:val="21"/>
              </w:rPr>
            </w:pPr>
            <w:r>
              <w:rPr>
                <w:rFonts w:hint="eastAsia" w:hAnsi="宋体" w:cs="宋体"/>
                <w:color w:val="auto"/>
                <w:kern w:val="0"/>
                <w:sz w:val="21"/>
                <w:szCs w:val="21"/>
                <w:highlight w:val="none"/>
                <w:lang w:val="en-US" w:eastAsia="zh-CN"/>
              </w:rPr>
              <w:t>现场看到技术部员工王元涛为</w:t>
            </w:r>
            <w:r>
              <w:rPr>
                <w:rFonts w:hint="eastAsia" w:ascii="宋体" w:hAnsi="宋体" w:eastAsia="宋体" w:cs="Times New Roman"/>
                <w:color w:val="auto"/>
                <w:szCs w:val="21"/>
                <w:shd w:val="clear" w:color="auto" w:fill="auto"/>
                <w:lang w:val="en-US" w:eastAsia="zh-CN"/>
              </w:rPr>
              <w:t>《</w:t>
            </w:r>
            <w:r>
              <w:rPr>
                <w:rFonts w:hint="eastAsia" w:ascii="宋体" w:hAnsi="宋体" w:eastAsia="宋体" w:cs="Times New Roman"/>
                <w:color w:val="auto"/>
                <w:szCs w:val="21"/>
                <w:shd w:val="clear" w:color="auto" w:fill="auto"/>
              </w:rPr>
              <w:t>HW85014井分段加砂压裂概念设计</w:t>
            </w:r>
            <w:r>
              <w:rPr>
                <w:rFonts w:hint="eastAsia" w:ascii="宋体" w:hAnsi="宋体" w:eastAsia="宋体" w:cs="Times New Roman"/>
                <w:color w:val="auto"/>
                <w:szCs w:val="21"/>
                <w:shd w:val="clear" w:color="auto" w:fill="auto"/>
                <w:lang w:val="en-US" w:eastAsia="zh-CN"/>
              </w:rPr>
              <w:t>》进行编制，由技术部经理张学锋确认各项设计任务得到合理开发</w:t>
            </w:r>
            <w:r>
              <w:rPr>
                <w:rFonts w:hint="eastAsia" w:asciiTheme="minorEastAsia" w:hAnsiTheme="minorEastAsia" w:eastAsiaTheme="minorEastAsia" w:cstheme="minorEastAsia"/>
                <w:b w:val="0"/>
                <w:bCs w:val="0"/>
                <w:color w:val="auto"/>
                <w:sz w:val="21"/>
                <w:szCs w:val="21"/>
                <w:lang w:val="en-US" w:eastAsia="zh-CN"/>
              </w:rPr>
              <w:t>。</w:t>
            </w:r>
            <w:r>
              <w:rPr>
                <w:rFonts w:hint="eastAsia" w:asciiTheme="minorEastAsia" w:hAnsiTheme="minorEastAsia" w:eastAsiaTheme="minorEastAsia" w:cstheme="minorEastAsia"/>
                <w:color w:val="auto"/>
                <w:sz w:val="21"/>
                <w:szCs w:val="21"/>
                <w:lang w:val="en-US" w:eastAsia="zh-CN"/>
              </w:rPr>
              <w:t xml:space="preserve">  </w:t>
            </w:r>
          </w:p>
        </w:tc>
        <w:tc>
          <w:tcPr>
            <w:tcW w:w="1585" w:type="dxa"/>
          </w:tcPr>
          <w:p>
            <w:pPr>
              <w:rPr>
                <w:color w:val="auto"/>
              </w:rPr>
            </w:pPr>
            <w:r>
              <w:rPr>
                <w:rFonts w:hint="eastAsia"/>
                <w:color w:val="auto"/>
              </w:rPr>
              <w:t>Y</w:t>
            </w: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vAlign w:val="top"/>
          </w:tcPr>
          <w:p>
            <w:pPr>
              <w:spacing w:line="360" w:lineRule="auto"/>
              <w:rPr>
                <w:rFonts w:ascii="宋体" w:hAnsi="宋体" w:cs="Arial"/>
                <w:color w:val="auto"/>
                <w:szCs w:val="21"/>
              </w:rPr>
            </w:pPr>
            <w:r>
              <w:rPr>
                <w:rFonts w:hint="eastAsia" w:ascii="宋体" w:hAnsi="宋体" w:cs="Arial"/>
                <w:color w:val="auto"/>
                <w:szCs w:val="21"/>
              </w:rPr>
              <w:t>放行</w:t>
            </w: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hint="eastAsia" w:ascii="宋体" w:hAnsi="宋体" w:cs="Arial"/>
                <w:color w:val="auto"/>
                <w:szCs w:val="21"/>
              </w:rPr>
            </w:pPr>
          </w:p>
          <w:p>
            <w:pPr>
              <w:spacing w:line="360" w:lineRule="auto"/>
              <w:rPr>
                <w:rFonts w:ascii="宋体" w:hAnsi="宋体" w:cs="Arial"/>
                <w:color w:val="auto"/>
                <w:szCs w:val="21"/>
              </w:rPr>
            </w:pPr>
          </w:p>
        </w:tc>
        <w:tc>
          <w:tcPr>
            <w:tcW w:w="960" w:type="dxa"/>
            <w:vAlign w:val="top"/>
          </w:tcPr>
          <w:p>
            <w:pPr>
              <w:spacing w:line="360" w:lineRule="auto"/>
              <w:rPr>
                <w:rFonts w:ascii="宋体" w:hAnsi="宋体" w:cs="Arial"/>
                <w:color w:val="auto"/>
                <w:szCs w:val="21"/>
              </w:rPr>
            </w:pPr>
            <w:r>
              <w:rPr>
                <w:rFonts w:hint="eastAsia" w:ascii="宋体" w:hAnsi="宋体" w:cs="Arial"/>
                <w:color w:val="auto"/>
                <w:szCs w:val="21"/>
              </w:rPr>
              <w:t>Q</w:t>
            </w:r>
            <w:r>
              <w:rPr>
                <w:rFonts w:ascii="宋体" w:hAnsi="宋体" w:cs="Arial"/>
                <w:color w:val="auto"/>
                <w:szCs w:val="21"/>
              </w:rPr>
              <w:t>8.6</w:t>
            </w: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ascii="宋体" w:hAnsi="宋体" w:cs="Arial"/>
                <w:color w:val="auto"/>
                <w:szCs w:val="21"/>
              </w:rPr>
            </w:pPr>
          </w:p>
          <w:p>
            <w:pPr>
              <w:spacing w:line="360" w:lineRule="auto"/>
              <w:rPr>
                <w:rFonts w:hint="eastAsia" w:ascii="宋体" w:hAnsi="宋体" w:cs="Arial"/>
                <w:color w:val="auto"/>
                <w:szCs w:val="21"/>
              </w:rPr>
            </w:pPr>
          </w:p>
          <w:p>
            <w:pPr>
              <w:spacing w:line="360" w:lineRule="auto"/>
              <w:rPr>
                <w:rFonts w:ascii="宋体" w:hAnsi="宋体" w:cs="Arial"/>
                <w:color w:val="auto"/>
                <w:szCs w:val="21"/>
              </w:rPr>
            </w:pPr>
          </w:p>
        </w:tc>
        <w:tc>
          <w:tcPr>
            <w:tcW w:w="10004" w:type="dxa"/>
            <w:vAlign w:val="center"/>
          </w:tcPr>
          <w:p>
            <w:pPr>
              <w:keepNext w:val="0"/>
              <w:keepLines w:val="0"/>
              <w:suppressLineNumbers w:val="0"/>
              <w:tabs>
                <w:tab w:val="left" w:pos="6597"/>
              </w:tabs>
              <w:spacing w:before="0" w:beforeAutospacing="0" w:after="0" w:afterAutospacing="0" w:line="360" w:lineRule="auto"/>
              <w:ind w:left="0" w:right="-6" w:rightChars="-3"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为确保采购物资符合要求，对采购物资实施验证活动；暂无在供方处验证要求，同时也没有要求在供方处进行验证。</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查：进货检验，</w:t>
            </w:r>
            <w:r>
              <w:rPr>
                <w:rFonts w:hint="eastAsia"/>
                <w:color w:val="auto"/>
                <w:lang w:val="en-US" w:eastAsia="zh-CN"/>
              </w:rPr>
              <w:t>《</w:t>
            </w:r>
            <w:r>
              <w:rPr>
                <w:rFonts w:hint="eastAsia"/>
                <w:color w:val="auto"/>
              </w:rPr>
              <w:t>进货检验记录表</w:t>
            </w:r>
            <w:r>
              <w:rPr>
                <w:rFonts w:hint="eastAsia"/>
                <w:color w:val="auto"/>
                <w:lang w:val="en-US" w:eastAsia="zh-CN"/>
              </w:rPr>
              <w:t>》2021年1月21日，产品包含：</w:t>
            </w:r>
            <w:r>
              <w:rPr>
                <w:rFonts w:hint="eastAsia" w:cs="Times New Roman"/>
                <w:color w:val="auto"/>
                <w:szCs w:val="22"/>
                <w:lang w:val="en-US" w:eastAsia="zh-CN"/>
              </w:rPr>
              <w:t>井场RTU1台、功图测试单元1台、液面自动监测仪1台、通信电源电缆30米、防爆接线盒1台</w:t>
            </w:r>
            <w:r>
              <w:rPr>
                <w:rFonts w:hint="eastAsia" w:asciiTheme="minorEastAsia" w:hAnsiTheme="minorEastAsia" w:eastAsiaTheme="minorEastAsia" w:cstheme="minorEastAsia"/>
                <w:color w:val="auto"/>
                <w:sz w:val="21"/>
                <w:szCs w:val="21"/>
                <w:lang w:val="en-US" w:eastAsia="zh-CN"/>
              </w:rPr>
              <w:t>。检查内容：数量、质量证明文件、到货日期、型号、外观，检验人：王元涛，结论：合格。</w:t>
            </w:r>
          </w:p>
          <w:p>
            <w:pPr>
              <w:keepNext w:val="0"/>
              <w:keepLines w:val="0"/>
              <w:suppressLineNumbers w:val="0"/>
              <w:spacing w:before="0" w:beforeAutospacing="0" w:after="0" w:afterAutospacing="0" w:line="360" w:lineRule="auto"/>
              <w:ind w:left="0" w:right="-6" w:rightChars="-3"/>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再查《</w:t>
            </w:r>
            <w:r>
              <w:rPr>
                <w:rFonts w:hint="eastAsia" w:asciiTheme="minorEastAsia" w:hAnsiTheme="minorEastAsia" w:eastAsiaTheme="minorEastAsia" w:cstheme="minorEastAsia"/>
                <w:color w:val="auto"/>
                <w:sz w:val="21"/>
                <w:szCs w:val="21"/>
              </w:rPr>
              <w:t>进货检验记录表</w:t>
            </w:r>
            <w:r>
              <w:rPr>
                <w:rFonts w:hint="eastAsia" w:asciiTheme="minorEastAsia" w:hAnsiTheme="minorEastAsia" w:eastAsiaTheme="minorEastAsia" w:cstheme="minorEastAsia"/>
                <w:color w:val="auto"/>
                <w:sz w:val="21"/>
                <w:szCs w:val="21"/>
                <w:lang w:val="en-US" w:eastAsia="zh-CN"/>
              </w:rPr>
              <w:t>》2020年12月20日，产品包含：吸水树脂200，10-20目，数量20kg；吸水树脂300，30-60目，数量20kg。 检查内容：数量、质量证明文件、到货日期、型号、外观，检验人：王元涛，结论：合格。</w:t>
            </w:r>
          </w:p>
          <w:p>
            <w:pPr>
              <w:keepNext w:val="0"/>
              <w:keepLines w:val="0"/>
              <w:suppressLineNumbers w:val="0"/>
              <w:spacing w:before="0" w:beforeAutospacing="0" w:after="0" w:afterAutospacing="0" w:line="360" w:lineRule="auto"/>
              <w:ind w:left="0" w:right="-6" w:rightChars="-3"/>
              <w:rPr>
                <w:rFonts w:ascii="宋体" w:hAnsi="宋体" w:cs="宋体"/>
                <w:color w:val="auto"/>
                <w:sz w:val="21"/>
                <w:szCs w:val="21"/>
              </w:rPr>
            </w:pPr>
            <w:r>
              <w:rPr>
                <w:rFonts w:hint="eastAsia" w:asciiTheme="minorEastAsia" w:hAnsiTheme="minorEastAsia" w:eastAsiaTheme="minorEastAsia" w:cstheme="minorEastAsia"/>
                <w:color w:val="auto"/>
                <w:sz w:val="21"/>
                <w:szCs w:val="21"/>
                <w:lang w:val="en-US" w:eastAsia="zh-CN"/>
              </w:rPr>
              <w:t>过程检验、客户验收详见8.3、8.5.1条款。</w:t>
            </w:r>
          </w:p>
        </w:tc>
        <w:tc>
          <w:tcPr>
            <w:tcW w:w="1585" w:type="dxa"/>
          </w:tcPr>
          <w:p>
            <w:pPr>
              <w:rPr>
                <w:color w:val="auto"/>
              </w:rPr>
            </w:pPr>
            <w:r>
              <w:rPr>
                <w:rFonts w:hint="eastAsia"/>
                <w:color w:val="auto"/>
              </w:rPr>
              <w:t>Y</w:t>
            </w:r>
          </w:p>
        </w:tc>
      </w:tr>
    </w:tbl>
    <w:p>
      <w:r>
        <w:ptab w:relativeTo="margin" w:alignment="center" w:leader="none"/>
      </w:r>
    </w:p>
    <w:p/>
    <w:p>
      <w:pPr>
        <w:pStyle w:val="12"/>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0" w:usb3="00000000" w:csb0="00100000" w:csb1="0000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2"/>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tabs>
        <w:tab w:val="left" w:pos="8910"/>
        <w:tab w:val="left" w:pos="9142"/>
        <w:tab w:val="clear" w:pos="4153"/>
      </w:tabs>
      <w:spacing w:line="320" w:lineRule="exact"/>
      <w:ind w:left="-86" w:leftChars="-41" w:firstLine="810" w:firstLineChars="450"/>
      <w:jc w:val="left"/>
      <w:rPr>
        <w:rStyle w:val="2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20"/>
        <w:rFonts w:hint="default"/>
      </w:rPr>
      <w:t>北京国标联合认证有限公司</w:t>
    </w:r>
    <w:r>
      <w:rPr>
        <w:rStyle w:val="20"/>
        <w:rFonts w:hint="default"/>
      </w:rPr>
      <w:tab/>
    </w:r>
    <w:r>
      <w:rPr>
        <w:rStyle w:val="20"/>
        <w:rFonts w:hint="default"/>
      </w:rPr>
      <w:tab/>
    </w:r>
    <w:r>
      <w:rPr>
        <w:rStyle w:val="20"/>
        <w:rFonts w:hint="default"/>
      </w:rPr>
      <w:tab/>
    </w:r>
  </w:p>
  <w:p>
    <w:pPr>
      <w:pStyle w:val="13"/>
      <w:pBdr>
        <w:bottom w:val="none" w:color="auto" w:sz="0" w:space="0"/>
      </w:pBdr>
      <w:spacing w:line="320" w:lineRule="exact"/>
      <w:jc w:val="left"/>
    </w:pPr>
    <w:r>
      <mc:AlternateContent>
        <mc:Choice Requires="wps">
          <w:drawing>
            <wp:anchor distT="0" distB="0" distL="114300" distR="114300" simplePos="0" relativeHeight="251658240" behindDoc="0" locked="0" layoutInCell="1" allowOverlap="1">
              <wp:simplePos x="0" y="0"/>
              <wp:positionH relativeFrom="column">
                <wp:posOffset>7045325</wp:posOffset>
              </wp:positionH>
              <wp:positionV relativeFrom="paragraph">
                <wp:posOffset>27940</wp:posOffset>
              </wp:positionV>
              <wp:extent cx="2184400" cy="256540"/>
              <wp:effectExtent l="0" t="0" r="0" b="1270"/>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184400" cy="256540"/>
                      </a:xfrm>
                      <a:prstGeom prst="rect">
                        <a:avLst/>
                      </a:prstGeom>
                      <a:solidFill>
                        <a:srgbClr val="FFFFFF"/>
                      </a:solidFill>
                      <a:ln>
                        <a:noFill/>
                      </a:ln>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554.75pt;margin-top:2.2pt;height:20.2pt;width:172pt;z-index:251658240;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Qaq5dYAAAAKAQAADwAAAAAAAAABACAAAAAiAAAAZHJzL2Rvd25yZXYueG1sUEsBAhQAFAAA&#10;AAgAh07iQNRv0G8qAgAAPgQAAA4AAAAAAAAAAQAgAAAAJQEAAGRycy9lMm9Eb2MueG1sUEsFBgAA&#10;AAAGAAYAWQEAAMEFA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20"/>
        <w:rFonts w:hint="default"/>
        <w:w w:val="90"/>
      </w:rPr>
      <w:t>Beijing International Standard united Certification Co.,Ltd.</w:t>
    </w:r>
  </w:p>
  <w:p>
    <w:pPr>
      <w:pStyle w:val="1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B80"/>
    <w:rsid w:val="0001713F"/>
    <w:rsid w:val="000259AC"/>
    <w:rsid w:val="000B7900"/>
    <w:rsid w:val="000D6436"/>
    <w:rsid w:val="001032CB"/>
    <w:rsid w:val="001538EB"/>
    <w:rsid w:val="001541DA"/>
    <w:rsid w:val="001A2755"/>
    <w:rsid w:val="001E2BA0"/>
    <w:rsid w:val="00297B6F"/>
    <w:rsid w:val="002D1F1C"/>
    <w:rsid w:val="00376607"/>
    <w:rsid w:val="003852FD"/>
    <w:rsid w:val="00411CE7"/>
    <w:rsid w:val="0044635D"/>
    <w:rsid w:val="00477697"/>
    <w:rsid w:val="004B16A6"/>
    <w:rsid w:val="004E08A4"/>
    <w:rsid w:val="00500C21"/>
    <w:rsid w:val="005E75BA"/>
    <w:rsid w:val="005F58CE"/>
    <w:rsid w:val="006350F0"/>
    <w:rsid w:val="0066443D"/>
    <w:rsid w:val="0068005C"/>
    <w:rsid w:val="006C3B64"/>
    <w:rsid w:val="006E7A70"/>
    <w:rsid w:val="00734419"/>
    <w:rsid w:val="007420C5"/>
    <w:rsid w:val="007536EE"/>
    <w:rsid w:val="007B1A3B"/>
    <w:rsid w:val="007F5845"/>
    <w:rsid w:val="00802252"/>
    <w:rsid w:val="00834B09"/>
    <w:rsid w:val="00893291"/>
    <w:rsid w:val="008E0C8E"/>
    <w:rsid w:val="008E45B6"/>
    <w:rsid w:val="0094266C"/>
    <w:rsid w:val="00954EA8"/>
    <w:rsid w:val="009B7866"/>
    <w:rsid w:val="009C3AF7"/>
    <w:rsid w:val="00A07938"/>
    <w:rsid w:val="00A3276E"/>
    <w:rsid w:val="00AA2D83"/>
    <w:rsid w:val="00AB7281"/>
    <w:rsid w:val="00B01EF6"/>
    <w:rsid w:val="00B325A1"/>
    <w:rsid w:val="00B33B39"/>
    <w:rsid w:val="00BB5BDD"/>
    <w:rsid w:val="00BB6546"/>
    <w:rsid w:val="00BE0E37"/>
    <w:rsid w:val="00BF540D"/>
    <w:rsid w:val="00C23315"/>
    <w:rsid w:val="00C343F0"/>
    <w:rsid w:val="00C45B28"/>
    <w:rsid w:val="00CB6525"/>
    <w:rsid w:val="00D5752A"/>
    <w:rsid w:val="00DD4B80"/>
    <w:rsid w:val="00E113F1"/>
    <w:rsid w:val="00E238F5"/>
    <w:rsid w:val="00E345F7"/>
    <w:rsid w:val="00E412FC"/>
    <w:rsid w:val="00E5540F"/>
    <w:rsid w:val="00EF3EBB"/>
    <w:rsid w:val="00F13AB9"/>
    <w:rsid w:val="00F60F0B"/>
    <w:rsid w:val="00F66D86"/>
    <w:rsid w:val="00F67463"/>
    <w:rsid w:val="00F922A5"/>
    <w:rsid w:val="00FB75CB"/>
    <w:rsid w:val="00FD12F5"/>
    <w:rsid w:val="00FD6519"/>
    <w:rsid w:val="01304109"/>
    <w:rsid w:val="02FD3C5D"/>
    <w:rsid w:val="0358271A"/>
    <w:rsid w:val="03705B95"/>
    <w:rsid w:val="03CD76A8"/>
    <w:rsid w:val="04892300"/>
    <w:rsid w:val="049145A4"/>
    <w:rsid w:val="04F3757C"/>
    <w:rsid w:val="05C27E71"/>
    <w:rsid w:val="05F821C1"/>
    <w:rsid w:val="067C699F"/>
    <w:rsid w:val="06BA30F2"/>
    <w:rsid w:val="06D465EC"/>
    <w:rsid w:val="075710FE"/>
    <w:rsid w:val="079D2EB9"/>
    <w:rsid w:val="07BB1345"/>
    <w:rsid w:val="07C902D0"/>
    <w:rsid w:val="0813265E"/>
    <w:rsid w:val="08555398"/>
    <w:rsid w:val="08CE13B5"/>
    <w:rsid w:val="08DC34E6"/>
    <w:rsid w:val="090E5D15"/>
    <w:rsid w:val="09565C32"/>
    <w:rsid w:val="09662CFB"/>
    <w:rsid w:val="098576D0"/>
    <w:rsid w:val="09A004A0"/>
    <w:rsid w:val="09D66353"/>
    <w:rsid w:val="0B2B1110"/>
    <w:rsid w:val="0BF742DF"/>
    <w:rsid w:val="0DED2B38"/>
    <w:rsid w:val="0DEF2265"/>
    <w:rsid w:val="0E141628"/>
    <w:rsid w:val="0E55344A"/>
    <w:rsid w:val="0E6B3ADE"/>
    <w:rsid w:val="0E773D43"/>
    <w:rsid w:val="0E873F41"/>
    <w:rsid w:val="0EFA2C7C"/>
    <w:rsid w:val="0F3C1D64"/>
    <w:rsid w:val="0F446BB8"/>
    <w:rsid w:val="0FEC77A2"/>
    <w:rsid w:val="10807825"/>
    <w:rsid w:val="1093370C"/>
    <w:rsid w:val="10DC6F9C"/>
    <w:rsid w:val="10FC7069"/>
    <w:rsid w:val="10FE1E26"/>
    <w:rsid w:val="11191B99"/>
    <w:rsid w:val="11284673"/>
    <w:rsid w:val="11486339"/>
    <w:rsid w:val="115D0060"/>
    <w:rsid w:val="1178793D"/>
    <w:rsid w:val="1220104F"/>
    <w:rsid w:val="128064A8"/>
    <w:rsid w:val="12C633EC"/>
    <w:rsid w:val="13484B18"/>
    <w:rsid w:val="13545603"/>
    <w:rsid w:val="13882863"/>
    <w:rsid w:val="13D35327"/>
    <w:rsid w:val="144C003C"/>
    <w:rsid w:val="145B4749"/>
    <w:rsid w:val="147139DD"/>
    <w:rsid w:val="150C08A1"/>
    <w:rsid w:val="15452B6C"/>
    <w:rsid w:val="15A57A90"/>
    <w:rsid w:val="15E2796E"/>
    <w:rsid w:val="16A34FB2"/>
    <w:rsid w:val="17261E13"/>
    <w:rsid w:val="177652EA"/>
    <w:rsid w:val="18263A39"/>
    <w:rsid w:val="18284413"/>
    <w:rsid w:val="18537335"/>
    <w:rsid w:val="199425EB"/>
    <w:rsid w:val="19AE679E"/>
    <w:rsid w:val="1A837D2F"/>
    <w:rsid w:val="1B7B258D"/>
    <w:rsid w:val="1B84458B"/>
    <w:rsid w:val="1BB0762D"/>
    <w:rsid w:val="1BF85CDE"/>
    <w:rsid w:val="1C2D4A69"/>
    <w:rsid w:val="1C503D2C"/>
    <w:rsid w:val="1CD4402D"/>
    <w:rsid w:val="1D1E5216"/>
    <w:rsid w:val="1D57493F"/>
    <w:rsid w:val="1D5C6FE6"/>
    <w:rsid w:val="1D67708B"/>
    <w:rsid w:val="1E2406E8"/>
    <w:rsid w:val="1E52424C"/>
    <w:rsid w:val="1EBA7B7A"/>
    <w:rsid w:val="20955F13"/>
    <w:rsid w:val="21081BA7"/>
    <w:rsid w:val="21BB3B30"/>
    <w:rsid w:val="21F54A5D"/>
    <w:rsid w:val="22012740"/>
    <w:rsid w:val="22180E53"/>
    <w:rsid w:val="22237ABD"/>
    <w:rsid w:val="22A163D5"/>
    <w:rsid w:val="22AA599E"/>
    <w:rsid w:val="22AC427D"/>
    <w:rsid w:val="233D7329"/>
    <w:rsid w:val="23591F63"/>
    <w:rsid w:val="236B2397"/>
    <w:rsid w:val="23D22493"/>
    <w:rsid w:val="23E55F98"/>
    <w:rsid w:val="23F14D1A"/>
    <w:rsid w:val="249547D7"/>
    <w:rsid w:val="24C52E05"/>
    <w:rsid w:val="24E255E4"/>
    <w:rsid w:val="2540656B"/>
    <w:rsid w:val="25846127"/>
    <w:rsid w:val="26380E23"/>
    <w:rsid w:val="265550AC"/>
    <w:rsid w:val="26637E3F"/>
    <w:rsid w:val="26935ECE"/>
    <w:rsid w:val="269B487A"/>
    <w:rsid w:val="2707671E"/>
    <w:rsid w:val="276C6377"/>
    <w:rsid w:val="27A80535"/>
    <w:rsid w:val="27D31648"/>
    <w:rsid w:val="280D3DB5"/>
    <w:rsid w:val="286A2476"/>
    <w:rsid w:val="28A905C8"/>
    <w:rsid w:val="28C134B5"/>
    <w:rsid w:val="292F5FEC"/>
    <w:rsid w:val="293955D3"/>
    <w:rsid w:val="295A0EA6"/>
    <w:rsid w:val="297656A6"/>
    <w:rsid w:val="29C33C02"/>
    <w:rsid w:val="2A011C4C"/>
    <w:rsid w:val="2A3A3EC1"/>
    <w:rsid w:val="2A635B96"/>
    <w:rsid w:val="2ADB74D7"/>
    <w:rsid w:val="2B351060"/>
    <w:rsid w:val="2B7B4E18"/>
    <w:rsid w:val="2C3C70E9"/>
    <w:rsid w:val="2C6314AC"/>
    <w:rsid w:val="2C8144CD"/>
    <w:rsid w:val="2CF82669"/>
    <w:rsid w:val="2DA830D9"/>
    <w:rsid w:val="2DB43D9E"/>
    <w:rsid w:val="2DC2405E"/>
    <w:rsid w:val="2E221C49"/>
    <w:rsid w:val="2E9E735A"/>
    <w:rsid w:val="2EB43EF7"/>
    <w:rsid w:val="2F257D41"/>
    <w:rsid w:val="2FC36B68"/>
    <w:rsid w:val="30310A87"/>
    <w:rsid w:val="30560633"/>
    <w:rsid w:val="30C72393"/>
    <w:rsid w:val="30E36CD9"/>
    <w:rsid w:val="31782699"/>
    <w:rsid w:val="31A310B3"/>
    <w:rsid w:val="31BE13FB"/>
    <w:rsid w:val="328B7477"/>
    <w:rsid w:val="33964A07"/>
    <w:rsid w:val="343247FF"/>
    <w:rsid w:val="348C1708"/>
    <w:rsid w:val="34F506F2"/>
    <w:rsid w:val="35726166"/>
    <w:rsid w:val="35B66F18"/>
    <w:rsid w:val="35BA606F"/>
    <w:rsid w:val="35F96CAA"/>
    <w:rsid w:val="360C5856"/>
    <w:rsid w:val="362D58B4"/>
    <w:rsid w:val="36861C2F"/>
    <w:rsid w:val="36A05FA1"/>
    <w:rsid w:val="36E05C97"/>
    <w:rsid w:val="38674CA1"/>
    <w:rsid w:val="38946726"/>
    <w:rsid w:val="38CF010C"/>
    <w:rsid w:val="38EF6639"/>
    <w:rsid w:val="38FA5B29"/>
    <w:rsid w:val="394A040F"/>
    <w:rsid w:val="39882D60"/>
    <w:rsid w:val="3A0C487C"/>
    <w:rsid w:val="3ABC3105"/>
    <w:rsid w:val="3B5D2A45"/>
    <w:rsid w:val="3B911005"/>
    <w:rsid w:val="3BE57209"/>
    <w:rsid w:val="3C440D19"/>
    <w:rsid w:val="3C504D4B"/>
    <w:rsid w:val="3C526738"/>
    <w:rsid w:val="3C903381"/>
    <w:rsid w:val="3C9E1151"/>
    <w:rsid w:val="3D242292"/>
    <w:rsid w:val="3DE9530E"/>
    <w:rsid w:val="3E256747"/>
    <w:rsid w:val="3E660AD6"/>
    <w:rsid w:val="3EA14DEA"/>
    <w:rsid w:val="3EB403E8"/>
    <w:rsid w:val="3EB52881"/>
    <w:rsid w:val="3F266A30"/>
    <w:rsid w:val="3F6F23DD"/>
    <w:rsid w:val="3FE576F8"/>
    <w:rsid w:val="400C55F1"/>
    <w:rsid w:val="40773153"/>
    <w:rsid w:val="407A23BB"/>
    <w:rsid w:val="414E41D7"/>
    <w:rsid w:val="418035D9"/>
    <w:rsid w:val="41BB1456"/>
    <w:rsid w:val="41E812B4"/>
    <w:rsid w:val="42282E97"/>
    <w:rsid w:val="42CA4E41"/>
    <w:rsid w:val="42CC38B0"/>
    <w:rsid w:val="42D074F7"/>
    <w:rsid w:val="42FC4513"/>
    <w:rsid w:val="43995A8F"/>
    <w:rsid w:val="43BF209B"/>
    <w:rsid w:val="440F1DC4"/>
    <w:rsid w:val="453A481E"/>
    <w:rsid w:val="4580257A"/>
    <w:rsid w:val="458A7495"/>
    <w:rsid w:val="45D72591"/>
    <w:rsid w:val="45F57F6B"/>
    <w:rsid w:val="46561E53"/>
    <w:rsid w:val="46570418"/>
    <w:rsid w:val="46774F5A"/>
    <w:rsid w:val="46B90406"/>
    <w:rsid w:val="46C930AA"/>
    <w:rsid w:val="46E701CA"/>
    <w:rsid w:val="472C5F99"/>
    <w:rsid w:val="4745758C"/>
    <w:rsid w:val="478E2F70"/>
    <w:rsid w:val="47972F66"/>
    <w:rsid w:val="47C17EA2"/>
    <w:rsid w:val="48491F8D"/>
    <w:rsid w:val="48850B8B"/>
    <w:rsid w:val="48F006B7"/>
    <w:rsid w:val="49423413"/>
    <w:rsid w:val="49424B1C"/>
    <w:rsid w:val="4A43488C"/>
    <w:rsid w:val="4A551A01"/>
    <w:rsid w:val="4A7B6415"/>
    <w:rsid w:val="4AFD070E"/>
    <w:rsid w:val="4B493B54"/>
    <w:rsid w:val="4C0F4361"/>
    <w:rsid w:val="4C612065"/>
    <w:rsid w:val="4CC06AA5"/>
    <w:rsid w:val="4CC205DC"/>
    <w:rsid w:val="4CE01DB7"/>
    <w:rsid w:val="4CE16A70"/>
    <w:rsid w:val="4D0737A5"/>
    <w:rsid w:val="4D487502"/>
    <w:rsid w:val="4E9845E6"/>
    <w:rsid w:val="4EB410AB"/>
    <w:rsid w:val="4EF40F32"/>
    <w:rsid w:val="4F0E76AD"/>
    <w:rsid w:val="4F7B4A3A"/>
    <w:rsid w:val="4FD635DB"/>
    <w:rsid w:val="50AD135C"/>
    <w:rsid w:val="50EA1CDA"/>
    <w:rsid w:val="515537FE"/>
    <w:rsid w:val="51743E40"/>
    <w:rsid w:val="520244B9"/>
    <w:rsid w:val="52BB077C"/>
    <w:rsid w:val="52CD303A"/>
    <w:rsid w:val="52F732A5"/>
    <w:rsid w:val="530B3E0D"/>
    <w:rsid w:val="534F35D0"/>
    <w:rsid w:val="538C3E49"/>
    <w:rsid w:val="53BD42D5"/>
    <w:rsid w:val="544F369E"/>
    <w:rsid w:val="54754936"/>
    <w:rsid w:val="54A01E6D"/>
    <w:rsid w:val="551C6A7C"/>
    <w:rsid w:val="554E2044"/>
    <w:rsid w:val="5563490B"/>
    <w:rsid w:val="55D54B44"/>
    <w:rsid w:val="56123E84"/>
    <w:rsid w:val="56B2789F"/>
    <w:rsid w:val="56E5086E"/>
    <w:rsid w:val="570F6398"/>
    <w:rsid w:val="57297D57"/>
    <w:rsid w:val="576D7AB2"/>
    <w:rsid w:val="581B64FA"/>
    <w:rsid w:val="58831853"/>
    <w:rsid w:val="58D734BB"/>
    <w:rsid w:val="590A2D30"/>
    <w:rsid w:val="59837DDA"/>
    <w:rsid w:val="598840E7"/>
    <w:rsid w:val="59933E41"/>
    <w:rsid w:val="599806C3"/>
    <w:rsid w:val="59C86E83"/>
    <w:rsid w:val="5A264CB6"/>
    <w:rsid w:val="5A7F66C0"/>
    <w:rsid w:val="5AA56731"/>
    <w:rsid w:val="5B566DD5"/>
    <w:rsid w:val="5B5E5B95"/>
    <w:rsid w:val="5B6D261C"/>
    <w:rsid w:val="5BA92E00"/>
    <w:rsid w:val="5BB11B25"/>
    <w:rsid w:val="5BD056AC"/>
    <w:rsid w:val="5BE43EE2"/>
    <w:rsid w:val="5BEA2AB8"/>
    <w:rsid w:val="5C193B9E"/>
    <w:rsid w:val="5C3761DC"/>
    <w:rsid w:val="5C3B260D"/>
    <w:rsid w:val="5D75156A"/>
    <w:rsid w:val="5DBA6A41"/>
    <w:rsid w:val="5EE17D6C"/>
    <w:rsid w:val="5F03245D"/>
    <w:rsid w:val="5F085F6D"/>
    <w:rsid w:val="5F336DA5"/>
    <w:rsid w:val="5F382F8A"/>
    <w:rsid w:val="5F47341F"/>
    <w:rsid w:val="6008644D"/>
    <w:rsid w:val="60C24E7C"/>
    <w:rsid w:val="60CD5BAF"/>
    <w:rsid w:val="60F57DB5"/>
    <w:rsid w:val="610E3361"/>
    <w:rsid w:val="6133439E"/>
    <w:rsid w:val="617500C1"/>
    <w:rsid w:val="61BE26FF"/>
    <w:rsid w:val="61FE2979"/>
    <w:rsid w:val="6243600E"/>
    <w:rsid w:val="62BF5F83"/>
    <w:rsid w:val="632378C8"/>
    <w:rsid w:val="6366472B"/>
    <w:rsid w:val="636E339D"/>
    <w:rsid w:val="637C3F6C"/>
    <w:rsid w:val="63896AAB"/>
    <w:rsid w:val="63F7207D"/>
    <w:rsid w:val="6471711F"/>
    <w:rsid w:val="64866EAE"/>
    <w:rsid w:val="652546CA"/>
    <w:rsid w:val="655D66DC"/>
    <w:rsid w:val="65793194"/>
    <w:rsid w:val="6649052C"/>
    <w:rsid w:val="665E7B8A"/>
    <w:rsid w:val="66AD5CCF"/>
    <w:rsid w:val="6736736E"/>
    <w:rsid w:val="67F977CC"/>
    <w:rsid w:val="687D5258"/>
    <w:rsid w:val="688144D0"/>
    <w:rsid w:val="68E15D72"/>
    <w:rsid w:val="697A2F27"/>
    <w:rsid w:val="697F13C6"/>
    <w:rsid w:val="69DF2FA3"/>
    <w:rsid w:val="6A03260D"/>
    <w:rsid w:val="6AAE248D"/>
    <w:rsid w:val="6AD922B1"/>
    <w:rsid w:val="6B344F15"/>
    <w:rsid w:val="6B496264"/>
    <w:rsid w:val="6B59252A"/>
    <w:rsid w:val="6B9B70E9"/>
    <w:rsid w:val="6BEB0C6B"/>
    <w:rsid w:val="6C410583"/>
    <w:rsid w:val="6C5517F8"/>
    <w:rsid w:val="6CDA5CC1"/>
    <w:rsid w:val="6D3946F3"/>
    <w:rsid w:val="6D517C23"/>
    <w:rsid w:val="6E973995"/>
    <w:rsid w:val="6EF073AE"/>
    <w:rsid w:val="6F5C5F71"/>
    <w:rsid w:val="6FD13025"/>
    <w:rsid w:val="70646E95"/>
    <w:rsid w:val="709F213C"/>
    <w:rsid w:val="711018A1"/>
    <w:rsid w:val="713C1464"/>
    <w:rsid w:val="71593975"/>
    <w:rsid w:val="715C7359"/>
    <w:rsid w:val="7165529B"/>
    <w:rsid w:val="717A1220"/>
    <w:rsid w:val="71E10BA9"/>
    <w:rsid w:val="725C175D"/>
    <w:rsid w:val="727C16FF"/>
    <w:rsid w:val="72BB440D"/>
    <w:rsid w:val="72F17470"/>
    <w:rsid w:val="738E3EC2"/>
    <w:rsid w:val="73BD4784"/>
    <w:rsid w:val="749A13DF"/>
    <w:rsid w:val="74D96F99"/>
    <w:rsid w:val="755B0C90"/>
    <w:rsid w:val="75B31D86"/>
    <w:rsid w:val="761F1329"/>
    <w:rsid w:val="762B5068"/>
    <w:rsid w:val="768B1820"/>
    <w:rsid w:val="76986104"/>
    <w:rsid w:val="77096523"/>
    <w:rsid w:val="773639AE"/>
    <w:rsid w:val="77810AA3"/>
    <w:rsid w:val="77CB5783"/>
    <w:rsid w:val="77E7719B"/>
    <w:rsid w:val="78123771"/>
    <w:rsid w:val="784F5A1A"/>
    <w:rsid w:val="78795B26"/>
    <w:rsid w:val="796214DF"/>
    <w:rsid w:val="79666F56"/>
    <w:rsid w:val="79717A20"/>
    <w:rsid w:val="79A448B7"/>
    <w:rsid w:val="7B047F98"/>
    <w:rsid w:val="7B0D51FF"/>
    <w:rsid w:val="7B3A4A90"/>
    <w:rsid w:val="7B45491C"/>
    <w:rsid w:val="7BA7005A"/>
    <w:rsid w:val="7C0C6300"/>
    <w:rsid w:val="7C3F7DA6"/>
    <w:rsid w:val="7C592391"/>
    <w:rsid w:val="7C8479B1"/>
    <w:rsid w:val="7D2D4FAC"/>
    <w:rsid w:val="7DF43AFE"/>
    <w:rsid w:val="7DF753B5"/>
    <w:rsid w:val="7E355215"/>
    <w:rsid w:val="7E9A65DB"/>
    <w:rsid w:val="7EE31489"/>
    <w:rsid w:val="7EEB3EAF"/>
    <w:rsid w:val="7F333E41"/>
    <w:rsid w:val="7FFB74C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6">
    <w:name w:val="heading 2"/>
    <w:basedOn w:val="1"/>
    <w:next w:val="7"/>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unhideWhenUsed/>
    <w:qFormat/>
    <w:uiPriority w:val="99"/>
    <w:pPr>
      <w:spacing w:line="420" w:lineRule="exact"/>
    </w:pPr>
    <w:rPr>
      <w:sz w:val="24"/>
    </w:r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styleId="7">
    <w:name w:val="Normal Indent"/>
    <w:basedOn w:val="1"/>
    <w:qFormat/>
    <w:uiPriority w:val="0"/>
    <w:pPr>
      <w:adjustRightInd w:val="0"/>
      <w:spacing w:line="360" w:lineRule="atLeast"/>
      <w:ind w:left="480"/>
      <w:textAlignment w:val="baseline"/>
    </w:pPr>
    <w:rPr>
      <w:kern w:val="0"/>
    </w:rPr>
  </w:style>
  <w:style w:type="paragraph" w:styleId="8">
    <w:name w:val="Body Text Indent"/>
    <w:basedOn w:val="1"/>
    <w:next w:val="9"/>
    <w:link w:val="23"/>
    <w:qFormat/>
    <w:uiPriority w:val="0"/>
    <w:pPr>
      <w:ind w:left="360"/>
    </w:pPr>
    <w:rPr>
      <w:rFonts w:ascii="宋体"/>
      <w:sz w:val="20"/>
    </w:rPr>
  </w:style>
  <w:style w:type="paragraph" w:styleId="9">
    <w:name w:val="envelope return"/>
    <w:basedOn w:val="1"/>
    <w:qFormat/>
    <w:uiPriority w:val="0"/>
    <w:pPr>
      <w:snapToGrid w:val="0"/>
    </w:pPr>
    <w:rPr>
      <w:rFonts w:ascii="Arial" w:hAnsi="Arial"/>
    </w:rPr>
  </w:style>
  <w:style w:type="paragraph" w:styleId="10">
    <w:name w:val="Plain Text"/>
    <w:basedOn w:val="1"/>
    <w:qFormat/>
    <w:uiPriority w:val="0"/>
    <w:rPr>
      <w:rFonts w:ascii="宋体" w:hAnsi="Courier New" w:cs="Courier New"/>
      <w:szCs w:val="21"/>
    </w:rPr>
  </w:style>
  <w:style w:type="paragraph" w:styleId="11">
    <w:name w:val="Balloon Text"/>
    <w:basedOn w:val="1"/>
    <w:link w:val="19"/>
    <w:semiHidden/>
    <w:unhideWhenUsed/>
    <w:qFormat/>
    <w:uiPriority w:val="99"/>
    <w:rPr>
      <w:sz w:val="18"/>
      <w:szCs w:val="18"/>
    </w:rPr>
  </w:style>
  <w:style w:type="paragraph" w:styleId="12">
    <w:name w:val="footer"/>
    <w:basedOn w:val="1"/>
    <w:link w:val="18"/>
    <w:unhideWhenUsed/>
    <w:qFormat/>
    <w:uiPriority w:val="99"/>
    <w:pPr>
      <w:tabs>
        <w:tab w:val="center" w:pos="4153"/>
        <w:tab w:val="right" w:pos="8306"/>
      </w:tabs>
      <w:snapToGrid w:val="0"/>
      <w:jc w:val="left"/>
    </w:pPr>
    <w:rPr>
      <w:sz w:val="18"/>
      <w:szCs w:val="18"/>
    </w:rPr>
  </w:style>
  <w:style w:type="paragraph" w:styleId="13">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First Indent 2"/>
    <w:basedOn w:val="8"/>
    <w:qFormat/>
    <w:uiPriority w:val="0"/>
    <w:pPr>
      <w:ind w:left="420" w:firstLine="420" w:firstLineChars="200"/>
    </w:pPr>
  </w:style>
  <w:style w:type="character" w:customStyle="1" w:styleId="17">
    <w:name w:val="页眉 字符"/>
    <w:basedOn w:val="16"/>
    <w:link w:val="13"/>
    <w:qFormat/>
    <w:uiPriority w:val="99"/>
    <w:rPr>
      <w:rFonts w:ascii="Times New Roman" w:hAnsi="Times New Roman" w:eastAsia="宋体" w:cs="Times New Roman"/>
      <w:sz w:val="18"/>
      <w:szCs w:val="18"/>
    </w:rPr>
  </w:style>
  <w:style w:type="character" w:customStyle="1" w:styleId="18">
    <w:name w:val="页脚 字符"/>
    <w:basedOn w:val="16"/>
    <w:link w:val="12"/>
    <w:qFormat/>
    <w:uiPriority w:val="99"/>
    <w:rPr>
      <w:rFonts w:ascii="Times New Roman" w:hAnsi="Times New Roman" w:eastAsia="宋体" w:cs="Times New Roman"/>
      <w:sz w:val="18"/>
      <w:szCs w:val="18"/>
    </w:rPr>
  </w:style>
  <w:style w:type="character" w:customStyle="1" w:styleId="19">
    <w:name w:val="批注框文本 字符"/>
    <w:basedOn w:val="16"/>
    <w:link w:val="11"/>
    <w:semiHidden/>
    <w:qFormat/>
    <w:uiPriority w:val="99"/>
    <w:rPr>
      <w:rFonts w:ascii="Times New Roman" w:hAnsi="Times New Roman" w:eastAsia="宋体" w:cs="Times New Roman"/>
      <w:sz w:val="18"/>
      <w:szCs w:val="18"/>
    </w:rPr>
  </w:style>
  <w:style w:type="character" w:customStyle="1" w:styleId="20">
    <w:name w:val="Char Char1"/>
    <w:qFormat/>
    <w:locked/>
    <w:uiPriority w:val="0"/>
    <w:rPr>
      <w:rFonts w:hint="eastAsia" w:ascii="宋体" w:hAnsi="Courier New" w:eastAsia="宋体"/>
      <w:kern w:val="2"/>
      <w:sz w:val="21"/>
      <w:lang w:val="en-US" w:eastAsia="zh-CN" w:bidi="ar-SA"/>
    </w:rPr>
  </w:style>
  <w:style w:type="paragraph" w:customStyle="1" w:styleId="21">
    <w:name w:val="_Style 2"/>
    <w:basedOn w:val="1"/>
    <w:qFormat/>
    <w:uiPriority w:val="34"/>
    <w:pPr>
      <w:ind w:firstLine="420" w:firstLineChars="200"/>
    </w:pPr>
    <w:rPr>
      <w:rFonts w:ascii="Calibri" w:hAnsi="Calibri"/>
      <w:sz w:val="24"/>
      <w:szCs w:val="22"/>
    </w:rPr>
  </w:style>
  <w:style w:type="paragraph" w:customStyle="1" w:styleId="22">
    <w:name w:val="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23">
    <w:name w:val="正文文本缩进 字符"/>
    <w:basedOn w:val="16"/>
    <w:link w:val="8"/>
    <w:qFormat/>
    <w:uiPriority w:val="0"/>
    <w:rPr>
      <w:rFonts w:ascii="宋体" w:hAnsi="Times New Roman" w:eastAsia="宋体" w:cs="Times New Roman"/>
      <w:kern w:val="2"/>
    </w:rPr>
  </w:style>
  <w:style w:type="paragraph" w:styleId="24">
    <w:name w:val="List Paragraph"/>
    <w:basedOn w:val="1"/>
    <w:qFormat/>
    <w:uiPriority w:val="99"/>
    <w:pPr>
      <w:ind w:firstLine="420" w:firstLineChars="200"/>
    </w:pPr>
  </w:style>
  <w:style w:type="paragraph" w:customStyle="1" w:styleId="25">
    <w:name w:val="表格文字"/>
    <w:basedOn w:val="1"/>
    <w:qFormat/>
    <w:uiPriority w:val="99"/>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721</Words>
  <Characters>4111</Characters>
  <Lines>34</Lines>
  <Paragraphs>9</Paragraphs>
  <TotalTime>2</TotalTime>
  <ScaleCrop>false</ScaleCrop>
  <LinksUpToDate>false</LinksUpToDate>
  <CharactersWithSpaces>4823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2020-10-03T03:40:00Z</dcterms:created>
  <dc:creator>微软用户</dc:creator>
  <cp:lastModifiedBy>LIL</cp:lastModifiedBy>
  <dcterms:modified xsi:type="dcterms:W3CDTF">2021-02-07T14:10:48Z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