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3058"/>
        <w:gridCol w:w="1080"/>
        <w:gridCol w:w="1187"/>
        <w:gridCol w:w="1063"/>
        <w:gridCol w:w="20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西安德杰特石油技术有限公司</w:t>
            </w:r>
            <w:bookmarkEnd w:id="3"/>
          </w:p>
        </w:tc>
        <w:tc>
          <w:tcPr>
            <w:tcW w:w="106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03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Q:29.11.5;34.06.00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E:29.11.5;34.06.00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O:29.11.5;34.06.00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30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18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03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05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8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3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305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Q:29.11.5;34.06.00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E:29.11.5;34.06.00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O:29.11.5;34.06.00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8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3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设计研发</w:t>
            </w:r>
            <w:r>
              <w:rPr>
                <w:rFonts w:hint="eastAsia"/>
                <w:b/>
                <w:sz w:val="20"/>
                <w:szCs w:val="22"/>
              </w:rPr>
              <w:t>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项目立项—→需求调研/分析—→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成果</w:t>
            </w:r>
            <w:r>
              <w:rPr>
                <w:rFonts w:hint="eastAsia"/>
                <w:b/>
                <w:sz w:val="20"/>
                <w:szCs w:val="22"/>
              </w:rPr>
              <w:t>设计—→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成果</w:t>
            </w:r>
            <w:r>
              <w:rPr>
                <w:rFonts w:hint="eastAsia"/>
                <w:b/>
                <w:sz w:val="20"/>
                <w:szCs w:val="22"/>
              </w:rPr>
              <w:t>测试—→现场支持、客户验收。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销售服务流程：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签订销售合同—实施采购—送货—检验—交付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关键过程：成果设计。特殊过程：销售服务过程。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固废排放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材料包装物废弃、办公垃圾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，</w:t>
            </w:r>
            <w:r>
              <w:rPr>
                <w:rFonts w:hint="eastAsia"/>
                <w:b/>
                <w:sz w:val="20"/>
                <w:szCs w:val="22"/>
              </w:rPr>
              <w:t>实行垃圾分类处理，办公固废由综合办公室统一收集，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物业统一处理</w:t>
            </w:r>
            <w:r>
              <w:rPr>
                <w:rFonts w:hint="eastAsia"/>
                <w:b/>
                <w:sz w:val="20"/>
                <w:szCs w:val="22"/>
              </w:rPr>
              <w:t>。火灾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办公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过程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对重点部位按防火要求配备环保型灭火器材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严格落实各项消防规章及防火管理制度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触电事故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严格执行安全用电规范,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办公区域线路定期检查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火灾事故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对重点部位按防火要求配备环保型灭火器材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严格落实各项消防规章及防火管理制度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交通意外事故：销售运输过程严格按照交通相关规章制度驾驶，严谨疲劳驾驶酒后驾驶。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井控技术规定Q/SY TH0082-2000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井控设备现场安装及验收规程Q/SY TH0059-2000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井喷的预防及处理工艺规程Q/SY TH0058-2000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井喷压井操作规程Q/SY TH0080-2000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高压油气井钻井过程井控作业规程Q/SY TH0081-2000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钻井工程资料填写验收规程Q/SY TH0070-2000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聚醚酯消泡剂HG/T 5259-2017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活性炭脱硫剂GB7701.1.97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采油用有机胺类水溶性脱硫剂技术规范Q/SY C 17007-2017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长庆油田生产测井及试井仪器刻度标定规范Q/SY CQ 2013-07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研发成果的确认。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1297940</wp:posOffset>
            </wp:positionH>
            <wp:positionV relativeFrom="paragraph">
              <wp:posOffset>142240</wp:posOffset>
            </wp:positionV>
            <wp:extent cx="369570" cy="284480"/>
            <wp:effectExtent l="0" t="0" r="11430" b="7620"/>
            <wp:wrapNone/>
            <wp:docPr id="2" name="图片 2" descr="李俐-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李俐-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570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4282440</wp:posOffset>
            </wp:positionH>
            <wp:positionV relativeFrom="paragraph">
              <wp:posOffset>54610</wp:posOffset>
            </wp:positionV>
            <wp:extent cx="483870" cy="372110"/>
            <wp:effectExtent l="0" t="0" r="11430" b="8890"/>
            <wp:wrapNone/>
            <wp:docPr id="3" name="图片 3" descr="李俐-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李俐-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87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2021.2.4</w:t>
      </w:r>
      <w:r>
        <w:rPr>
          <w:rFonts w:hint="eastAsia"/>
          <w:b/>
          <w:sz w:val="18"/>
          <w:szCs w:val="18"/>
        </w:rPr>
        <w:t xml:space="preserve">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2021.2.4</w:t>
      </w:r>
      <w:bookmarkStart w:id="4" w:name="_GoBack"/>
      <w:bookmarkEnd w:id="4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21572B"/>
    <w:rsid w:val="1C1B38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2021-02-07T12:53:32Z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