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宋体" w:hAnsi="宋体"/>
          <w:b/>
          <w:bCs/>
          <w:sz w:val="28"/>
          <w:szCs w:val="28"/>
        </w:rPr>
        <w:t>单螺杆泵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水压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单螺杆泵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水压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ZT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压力（1.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-2.4）MPa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Q/ZJ-06-2010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静压试验规程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2007410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黄山市计量检定测试所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2007410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2007410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的不压力表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0.2MPa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70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019175" cy="462280"/>
                  <wp:effectExtent l="0" t="0" r="0" b="13970"/>
                  <wp:docPr id="1" name="图片 1" descr="8712bcaea5d399e84526d0981a113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12bcaea5d399e84526d0981a113d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DBA4332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621D66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10</TotalTime>
  <ScaleCrop>false</ScaleCrop>
  <LinksUpToDate>false</LinksUpToDate>
  <CharactersWithSpaces>824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2021-02-05T03:04:26Z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