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rFonts w:hint="default" w:ascii="Times New Roman" w:hAnsi="Times New Roman" w:eastAsia="楷体" w:cs="Times New Roman"/>
          <w:b/>
          <w:bCs/>
          <w:color w:val="000000"/>
          <w:sz w:val="28"/>
          <w:szCs w:val="28"/>
          <w:u w:val="none"/>
        </w:rPr>
      </w:pPr>
      <w:r>
        <w:rPr>
          <w:rFonts w:hint="default" w:ascii="Times New Roman" w:hAnsi="Times New Roman" w:eastAsia="楷体" w:cs="Times New Roman"/>
          <w:b/>
          <w:bCs/>
          <w:color w:val="000000"/>
          <w:sz w:val="28"/>
          <w:szCs w:val="28"/>
          <w:u w:val="none"/>
        </w:rPr>
        <w:t>合同编号：</w:t>
      </w:r>
      <w:bookmarkStart w:id="0" w:name="合同编号"/>
      <w:r>
        <w:rPr>
          <w:rFonts w:hint="eastAsia"/>
          <w:b/>
          <w:bCs/>
          <w:sz w:val="28"/>
          <w:szCs w:val="28"/>
          <w:u w:val="none"/>
        </w:rPr>
        <w:t>0</w:t>
      </w:r>
      <w:r>
        <w:rPr>
          <w:rFonts w:hint="eastAsia"/>
          <w:b/>
          <w:bCs/>
          <w:sz w:val="28"/>
          <w:szCs w:val="28"/>
          <w:u w:val="none"/>
          <w:lang w:val="en-US" w:eastAsia="zh-CN"/>
        </w:rPr>
        <w:t>086</w:t>
      </w:r>
      <w:r>
        <w:rPr>
          <w:rFonts w:hint="eastAsia"/>
          <w:b/>
          <w:bCs/>
          <w:sz w:val="28"/>
          <w:szCs w:val="28"/>
          <w:u w:val="none"/>
        </w:rPr>
        <w:t>-2021-E</w:t>
      </w:r>
      <w:bookmarkEnd w:id="0"/>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anchor distT="0" distB="0" distL="0" distR="0" simplePos="0" relativeHeight="251660288" behindDoc="0" locked="0" layoutInCell="1" allowOverlap="1">
            <wp:simplePos x="0" y="0"/>
            <wp:positionH relativeFrom="column">
              <wp:posOffset>2162810</wp:posOffset>
            </wp:positionH>
            <wp:positionV relativeFrom="paragraph">
              <wp:posOffset>139700</wp:posOffset>
            </wp:positionV>
            <wp:extent cx="2091690" cy="2091690"/>
            <wp:effectExtent l="19050" t="0" r="3353"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anchor>
        </w:drawing>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枣阳市润图化工有限责任公司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23"/>
        <w:gridCol w:w="2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23" w:type="dxa"/>
            <w:vAlign w:val="center"/>
          </w:tcPr>
          <w:p>
            <w:pPr>
              <w:rPr>
                <w:b/>
                <w:color w:val="000000"/>
                <w:sz w:val="20"/>
                <w:szCs w:val="20"/>
              </w:rPr>
            </w:pPr>
            <w:r>
              <w:rPr>
                <w:rFonts w:hint="eastAsia"/>
                <w:b/>
                <w:color w:val="000000"/>
                <w:sz w:val="20"/>
                <w:szCs w:val="20"/>
              </w:rPr>
              <w:t>邮箱</w:t>
            </w:r>
          </w:p>
        </w:tc>
        <w:tc>
          <w:tcPr>
            <w:tcW w:w="24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rFonts w:hint="eastAsia"/>
                <w:b/>
                <w:color w:val="000000"/>
                <w:sz w:val="20"/>
                <w:szCs w:val="20"/>
              </w:rPr>
              <w:t>2020-N1EMS-3022240</w:t>
            </w:r>
          </w:p>
        </w:tc>
        <w:tc>
          <w:tcPr>
            <w:tcW w:w="2179"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rFonts w:hint="eastAsia" w:eastAsia="宋体"/>
                <w:b/>
                <w:color w:val="000000"/>
                <w:lang w:val="en-US" w:eastAsia="zh-CN"/>
              </w:rPr>
            </w:pPr>
          </w:p>
        </w:tc>
        <w:tc>
          <w:tcPr>
            <w:tcW w:w="1417" w:type="dxa"/>
            <w:gridSpan w:val="2"/>
            <w:vAlign w:val="center"/>
          </w:tcPr>
          <w:p>
            <w:pPr>
              <w:rPr>
                <w:rFonts w:hint="eastAsia" w:eastAsia="宋体"/>
                <w:b/>
                <w:color w:val="000000"/>
                <w:lang w:val="en-US" w:eastAsia="zh-CN"/>
              </w:rPr>
            </w:pPr>
          </w:p>
        </w:tc>
        <w:tc>
          <w:tcPr>
            <w:tcW w:w="3402" w:type="dxa"/>
            <w:gridSpan w:val="4"/>
            <w:vAlign w:val="center"/>
          </w:tcPr>
          <w:p>
            <w:pPr>
              <w:rPr>
                <w:rFonts w:hint="eastAsia" w:eastAsia="宋体"/>
                <w:b/>
                <w:color w:val="000000"/>
                <w:lang w:eastAsia="zh-CN"/>
              </w:rPr>
            </w:pPr>
          </w:p>
        </w:tc>
        <w:tc>
          <w:tcPr>
            <w:tcW w:w="2179" w:type="dxa"/>
            <w:gridSpan w:val="2"/>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570" w:firstLineChars="2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b/>
          <w:color w:val="000000"/>
          <w:sz w:val="20"/>
          <w:szCs w:val="20"/>
          <w:lang w:val="de-DE"/>
        </w:rPr>
      </w:pP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485"/>
        <w:gridCol w:w="818"/>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eastAsia="zh-CN"/>
              </w:rPr>
            </w:pPr>
            <w:r>
              <w:rPr>
                <w:rFonts w:hint="eastAsia" w:ascii="宋体"/>
                <w:b/>
                <w:color w:val="000000"/>
                <w:sz w:val="20"/>
                <w:szCs w:val="20"/>
                <w:lang w:eastAsia="zh-CN"/>
              </w:rPr>
              <w:t>枣阳市润图化工有限责任公司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3997" w:type="dxa"/>
            <w:gridSpan w:val="3"/>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eastAsia="zh-CN"/>
              </w:rPr>
              <w:t>枣阳市太平镇草店街寺沙路东侧</w:t>
            </w:r>
          </w:p>
        </w:tc>
        <w:tc>
          <w:tcPr>
            <w:tcW w:w="818" w:type="dxa"/>
            <w:vMerge w:val="restart"/>
            <w:vAlign w:val="center"/>
          </w:tcPr>
          <w:p>
            <w:pPr>
              <w:spacing w:line="280" w:lineRule="exact"/>
              <w:jc w:val="both"/>
              <w:rPr>
                <w:rFonts w:hint="default" w:ascii="Times New Roman" w:hAnsi="Times New Roman" w:cs="Times New Roman"/>
                <w:b/>
                <w:color w:val="auto"/>
                <w:sz w:val="20"/>
                <w:szCs w:val="20"/>
              </w:rPr>
            </w:pPr>
            <w:r>
              <w:rPr>
                <w:rFonts w:hint="eastAsia"/>
                <w:sz w:val="21"/>
                <w:szCs w:val="21"/>
              </w:rPr>
              <w:t>邮编</w:t>
            </w:r>
          </w:p>
        </w:tc>
        <w:tc>
          <w:tcPr>
            <w:tcW w:w="2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441206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3997" w:type="dxa"/>
            <w:gridSpan w:val="3"/>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6" w:name="经营地址"/>
            <w:bookmarkEnd w:id="6"/>
            <w:r>
              <w:rPr>
                <w:rFonts w:hint="eastAsia"/>
                <w:sz w:val="21"/>
                <w:szCs w:val="21"/>
                <w:lang w:eastAsia="zh-CN"/>
              </w:rPr>
              <w:t>枣阳市太平镇草店街寺沙路东侧</w:t>
            </w: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auto"/>
                <w:sz w:val="20"/>
                <w:szCs w:val="20"/>
              </w:rPr>
            </w:pPr>
          </w:p>
        </w:tc>
        <w:tc>
          <w:tcPr>
            <w:tcW w:w="2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7" w:name="经营邮编"/>
            <w:bookmarkEnd w:id="7"/>
            <w:r>
              <w:rPr>
                <w:rFonts w:hint="eastAsia"/>
                <w:b w:val="0"/>
                <w:bCs w:val="0"/>
                <w:sz w:val="21"/>
                <w:szCs w:val="21"/>
                <w:lang w:eastAsia="zh-CN"/>
              </w:rPr>
              <w:t>441206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04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8" w:name="联系人"/>
            <w:r>
              <w:rPr>
                <w:b w:val="0"/>
                <w:bCs w:val="0"/>
                <w:sz w:val="21"/>
                <w:szCs w:val="21"/>
              </w:rPr>
              <w:t>陈帝恒</w:t>
            </w:r>
            <w:bookmarkEnd w:id="8"/>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1485"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9" w:name="联系人电话"/>
            <w:r>
              <w:rPr>
                <w:b w:val="0"/>
                <w:bCs w:val="0"/>
                <w:sz w:val="21"/>
                <w:szCs w:val="21"/>
              </w:rPr>
              <w:t>0710-6558518</w:t>
            </w:r>
            <w:bookmarkEnd w:id="9"/>
          </w:p>
        </w:tc>
        <w:tc>
          <w:tcPr>
            <w:tcW w:w="818"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传真</w:t>
            </w:r>
          </w:p>
        </w:tc>
        <w:tc>
          <w:tcPr>
            <w:tcW w:w="2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10" w:name="联系人传真Add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04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11" w:name="法人"/>
            <w:r>
              <w:rPr>
                <w:rFonts w:hint="eastAsia"/>
                <w:b w:val="0"/>
                <w:bCs/>
                <w:color w:val="000000" w:themeColor="text1"/>
                <w:sz w:val="22"/>
                <w:szCs w:val="22"/>
              </w:rPr>
              <w:t>陈世海</w:t>
            </w:r>
            <w:bookmarkEnd w:id="11"/>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1485"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12" w:name="管理者代表"/>
            <w:r>
              <w:rPr>
                <w:rFonts w:hint="eastAsia"/>
                <w:b w:val="0"/>
                <w:bCs/>
                <w:color w:val="000000" w:themeColor="text1"/>
                <w:sz w:val="22"/>
                <w:szCs w:val="22"/>
              </w:rPr>
              <w:t>陈凯</w:t>
            </w:r>
            <w:bookmarkEnd w:id="12"/>
          </w:p>
        </w:tc>
        <w:tc>
          <w:tcPr>
            <w:tcW w:w="818"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13" w:name="联系人邮箱"/>
            <w:r>
              <w:rPr>
                <w:b w:val="0"/>
                <w:bCs w:val="0"/>
                <w:sz w:val="21"/>
                <w:szCs w:val="21"/>
              </w:rPr>
              <w:t>872361857@qq.com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u w:val="single"/>
              </w:rPr>
            </w:pPr>
            <w:bookmarkStart w:id="14" w:name="审核范围"/>
            <w:r>
              <w:rPr>
                <w:rFonts w:hint="eastAsia" w:ascii="宋体" w:hAnsi="宋体"/>
                <w:szCs w:val="21"/>
                <w:lang w:eastAsia="zh-CN"/>
              </w:rPr>
              <w:t>电泳漆的生产</w:t>
            </w:r>
            <w:r>
              <w:rPr>
                <w:rFonts w:hint="eastAsia" w:ascii="宋体" w:hAnsi="宋体"/>
                <w:szCs w:val="21"/>
              </w:rPr>
              <w:t>所涉及场所的相关环境管理活动</w:t>
            </w:r>
            <w:bookmarkEnd w:id="14"/>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b/>
                <w:color w:val="000000"/>
                <w:sz w:val="20"/>
                <w:szCs w:val="20"/>
                <w:lang w:eastAsia="zh-CN"/>
              </w:rPr>
              <w:t>12.03.00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环境管理手册》、《程序文件》等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行政部、质技部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办公区域、生产车间</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网络视频、电话</w:t>
            </w:r>
            <w:r>
              <w:rPr>
                <w:rFonts w:hint="eastAsia" w:ascii="宋体" w:hAnsi="宋体"/>
                <w:b/>
                <w:color w:val="000000"/>
                <w:sz w:val="20"/>
                <w:szCs w:val="20"/>
              </w:rPr>
              <w:t>与主要管理者和相关人员交流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vAlign w:val="top"/>
          </w:tcPr>
          <w:p>
            <w:pPr>
              <w:keepNext w:val="0"/>
              <w:keepLines w:val="0"/>
              <w:pageBreakBefore w:val="0"/>
              <w:widowControl w:val="0"/>
              <w:tabs>
                <w:tab w:val="left" w:pos="360"/>
              </w:tabs>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b w:val="0"/>
                <w:bCs w:val="0"/>
                <w:sz w:val="21"/>
                <w:szCs w:val="21"/>
              </w:rPr>
              <w:t>电泳漆的生产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行政部、质技部、供销部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Theme="minorEastAsia" w:hAnsiTheme="minorEastAsia" w:eastAsiaTheme="minorEastAsia"/>
                <w:sz w:val="20"/>
                <w:lang w:eastAsia="zh-CN"/>
              </w:rPr>
              <w:t>枣阳市太平镇草店街寺沙路东侧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Theme="minorEastAsia" w:hAnsiTheme="minorEastAsia" w:eastAsiaTheme="minorEastAsia"/>
                <w:sz w:val="20"/>
                <w:lang w:eastAsia="zh-CN"/>
              </w:rPr>
              <w:t>枣阳市太平镇草店街寺沙路东侧</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lang w:eastAsia="zh-CN"/>
              </w:rPr>
              <w:t>DB11/501-2007《大气污染物综合排放标准》、GB12348-2008《工业企业厂界环境噪声排放标准》</w:t>
            </w:r>
            <w:r>
              <w:rPr>
                <w:rFonts w:hint="eastAsia"/>
              </w:rPr>
              <w:t>《污水综合排放标准》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废气排放、噪声排放、废水排放</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20" w:lineRule="exact"/>
        <w:ind w:left="260" w:leftChars="124"/>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行政部、质技部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keepNext w:val="0"/>
              <w:keepLines w:val="0"/>
              <w:pageBreakBefore w:val="0"/>
              <w:widowControl w:val="0"/>
              <w:kinsoku/>
              <w:wordWrap/>
              <w:overflowPunct/>
              <w:topLinePunct w:val="0"/>
              <w:autoSpaceDE/>
              <w:autoSpaceDN/>
              <w:bidi w:val="0"/>
              <w:adjustRightInd/>
              <w:snapToGrid/>
              <w:spacing w:line="360" w:lineRule="exact"/>
              <w:ind w:left="301" w:hanging="301" w:hangingChars="150"/>
              <w:textAlignment w:val="auto"/>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keepNext w:val="0"/>
              <w:keepLines w:val="0"/>
              <w:pageBreakBefore w:val="0"/>
              <w:widowControl w:val="0"/>
              <w:tabs>
                <w:tab w:val="left" w:pos="577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宋体" w:hAnsi="宋体"/>
          <w:szCs w:val="21"/>
          <w:lang w:eastAsia="zh-CN"/>
        </w:rPr>
        <w:t>电泳漆的生产</w:t>
      </w:r>
      <w:r>
        <w:rPr>
          <w:rFonts w:hint="eastAsia" w:ascii="宋体" w:hAnsi="宋体"/>
          <w:szCs w:val="21"/>
        </w:rPr>
        <w:t xml:space="preserve">所涉及场所的相关环境管理活动 </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9264" behindDoc="0" locked="0" layoutInCell="1" allowOverlap="1">
            <wp:simplePos x="0" y="0"/>
            <wp:positionH relativeFrom="column">
              <wp:posOffset>1743075</wp:posOffset>
            </wp:positionH>
            <wp:positionV relativeFrom="paragraph">
              <wp:posOffset>93345</wp:posOffset>
            </wp:positionV>
            <wp:extent cx="1255395" cy="604520"/>
            <wp:effectExtent l="0" t="0" r="0" b="444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255395" cy="60452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r>
              <w:rPr>
                <w:sz w:val="24"/>
              </w:rPr>
              <w:pict>
                <v:line id="_x0000_s2050" o:spid="_x0000_s2050" o:spt="20" style="position:absolute;left:0pt;flip:y;margin-left:13pt;margin-top:-6.2pt;height:294.55pt;width:475.9pt;z-index:251661312;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A8691B"/>
    <w:rsid w:val="04081B72"/>
    <w:rsid w:val="041C4899"/>
    <w:rsid w:val="18F24FF2"/>
    <w:rsid w:val="2D406657"/>
    <w:rsid w:val="33006401"/>
    <w:rsid w:val="3E330461"/>
    <w:rsid w:val="3EB50EEA"/>
    <w:rsid w:val="43CF42E2"/>
    <w:rsid w:val="461057E1"/>
    <w:rsid w:val="47CE3277"/>
    <w:rsid w:val="4A96156B"/>
    <w:rsid w:val="4AD13557"/>
    <w:rsid w:val="63697D4A"/>
    <w:rsid w:val="773A1D92"/>
    <w:rsid w:val="7A786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5614</Words>
  <Characters>5894</Characters>
  <Lines>48</Lines>
  <Paragraphs>13</Paragraphs>
  <TotalTime>0</TotalTime>
  <ScaleCrop>false</ScaleCrop>
  <LinksUpToDate>false</LinksUpToDate>
  <CharactersWithSpaces>5986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2021-03-16T01:35:24Z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7ECD93F9729F41549121670C6ACB64C7</vt:lpwstr>
  </property>
</Properties>
</file>