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7490" cy="9307195"/>
            <wp:effectExtent l="0" t="0" r="3810" b="1905"/>
            <wp:docPr id="2" name="图片 2" descr="二阶段审核资料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阶段审核资料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930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74"/>
        <w:gridCol w:w="1179"/>
        <w:gridCol w:w="6"/>
        <w:gridCol w:w="567"/>
        <w:gridCol w:w="1242"/>
        <w:gridCol w:w="75"/>
        <w:gridCol w:w="101"/>
        <w:gridCol w:w="589"/>
        <w:gridCol w:w="261"/>
        <w:gridCol w:w="4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北京皮赛姆工程科技有限公司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北京市通州区京洲园413号楼1层01-1069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刘娟娟</w:t>
            </w:r>
            <w:bookmarkEnd w:id="2"/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13581807001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101100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Lucia_112@sohu.com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0081-2021-QEO</w:t>
            </w:r>
            <w:bookmarkEnd w:id="8"/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O：化工安全领域的管理咨询、技术咨询、工程安全性评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估</w:t>
            </w:r>
            <w:r>
              <w:rPr>
                <w:b w:val="0"/>
                <w:bCs w:val="0"/>
                <w:sz w:val="21"/>
                <w:szCs w:val="21"/>
              </w:rPr>
              <w:t>所涉及场所的相关职业健康安全管理活动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E：化工安全领域的管理咨询、技术咨询、工程安全性评估所涉及场所的相关环境管理活动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Q：化工安全领域的管理咨询、技术咨询、工程安全性评估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O：34.06.00;35.04.02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E：34.06.00;35.04.02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Q：34.06.00;35.04.02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2021年02月05日 上午至2021年02月05日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O:34.06.00,35.04.02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E:34.06.00,35.04.02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Q:34.06.00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O:34.06.00,35.04.02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E:34.06.00,35.04.02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Q:35.04.02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2021.2.5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工程安全性评</w:t>
            </w:r>
            <w:r>
              <w:rPr>
                <w:rFonts w:hint="eastAsia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估涉及的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涉及条款：Q8.5.1/8.5.6/8.6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目标；基础设施；运行环境；监视和测量资源；运行的策划和控制；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人员、组织知识；能力；意识；沟通；文件化信息；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外部提供的过程、产品和服务的控制；生产和服务提供的控制；标识和可追溯性；产品防护；变更的控制；产品和服务的放行；不合格输出的控制；环境因素、危险源辨识、风险评价和控制措施的确定；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法律法规、合规义务；运行控制；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绩效的监视和测量；合规性评价；内部审核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Q5.3/6.2/7.1.3/7.1.4/7.1.5/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8.1/8.3/8.4/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6.2/8.1/8.2/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/9.2/10.2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B11A8"/>
    <w:rsid w:val="584A2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2021-02-23T06:19:15Z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