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color w:val="000000"/>
          <w:szCs w:val="21"/>
        </w:rPr>
      </w:pPr>
      <w:r>
        <w:rPr>
          <w:rFonts w:hint="eastAsia" w:ascii="隶书" w:hAnsi="宋体" w:eastAsia="隶书"/>
          <w:bCs/>
          <w:color w:val="000000"/>
          <w:sz w:val="36"/>
          <w:szCs w:val="36"/>
        </w:rPr>
        <w:t>管理体系审核记录表</w:t>
      </w:r>
    </w:p>
    <w:tbl>
      <w:tblPr>
        <w:tblStyle w:val="9"/>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49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2" w:type="dxa"/>
            <w:vMerge w:val="restart"/>
            <w:vAlign w:val="center"/>
          </w:tcPr>
          <w:p>
            <w:pPr>
              <w:spacing w:before="120"/>
              <w:jc w:val="center"/>
              <w:rPr>
                <w:szCs w:val="21"/>
              </w:rPr>
            </w:pPr>
            <w:r>
              <w:rPr>
                <w:szCs w:val="21"/>
              </w:rPr>
              <w:t>过程与活动、</w:t>
            </w:r>
          </w:p>
          <w:p>
            <w:pPr>
              <w:jc w:val="center"/>
              <w:rPr>
                <w:szCs w:val="21"/>
              </w:rPr>
            </w:pPr>
            <w:r>
              <w:rPr>
                <w:szCs w:val="21"/>
              </w:rPr>
              <w:t>抽样计划</w:t>
            </w:r>
          </w:p>
        </w:tc>
        <w:tc>
          <w:tcPr>
            <w:tcW w:w="869" w:type="dxa"/>
            <w:vMerge w:val="restart"/>
            <w:vAlign w:val="center"/>
          </w:tcPr>
          <w:p>
            <w:pPr>
              <w:rPr>
                <w:szCs w:val="21"/>
              </w:rPr>
            </w:pPr>
            <w:r>
              <w:rPr>
                <w:szCs w:val="21"/>
              </w:rPr>
              <w:t>涉及</w:t>
            </w:r>
          </w:p>
          <w:p>
            <w:pPr>
              <w:rPr>
                <w:szCs w:val="21"/>
              </w:rPr>
            </w:pPr>
            <w:r>
              <w:rPr>
                <w:szCs w:val="21"/>
              </w:rPr>
              <w:t>条款</w:t>
            </w:r>
          </w:p>
        </w:tc>
        <w:tc>
          <w:tcPr>
            <w:tcW w:w="11490" w:type="dxa"/>
            <w:vAlign w:val="center"/>
          </w:tcPr>
          <w:p>
            <w:pPr>
              <w:rPr>
                <w:szCs w:val="21"/>
              </w:rPr>
            </w:pPr>
            <w:r>
              <w:rPr>
                <w:szCs w:val="21"/>
              </w:rPr>
              <w:t>受审核部门：</w:t>
            </w:r>
            <w:r>
              <w:rPr>
                <w:rFonts w:hint="eastAsia"/>
                <w:szCs w:val="21"/>
              </w:rPr>
              <w:t>管理层</w:t>
            </w:r>
            <w:r>
              <w:rPr>
                <w:szCs w:val="21"/>
              </w:rPr>
              <w:t xml:space="preserve">          主管领导： </w:t>
            </w:r>
            <w:r>
              <w:rPr>
                <w:rFonts w:hint="eastAsia" w:asciiTheme="majorEastAsia" w:hAnsiTheme="majorEastAsia" w:eastAsiaTheme="majorEastAsia" w:cstheme="majorEastAsia"/>
                <w:color w:val="000000"/>
                <w:lang w:eastAsia="zh-CN"/>
              </w:rPr>
              <w:t>张志东</w:t>
            </w:r>
          </w:p>
        </w:tc>
        <w:tc>
          <w:tcPr>
            <w:tcW w:w="709" w:type="dxa"/>
            <w:vMerge w:val="restart"/>
            <w:vAlign w:val="center"/>
          </w:tcPr>
          <w:p>
            <w:pPr>
              <w:rPr>
                <w:szCs w:val="21"/>
              </w:rPr>
            </w:pPr>
            <w:r>
              <w:rPr>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rPr>
                <w:szCs w:val="21"/>
              </w:rPr>
            </w:pPr>
          </w:p>
        </w:tc>
        <w:tc>
          <w:tcPr>
            <w:tcW w:w="869" w:type="dxa"/>
            <w:vMerge w:val="continue"/>
            <w:vAlign w:val="center"/>
          </w:tcPr>
          <w:p>
            <w:pPr>
              <w:rPr>
                <w:szCs w:val="21"/>
              </w:rPr>
            </w:pPr>
          </w:p>
        </w:tc>
        <w:tc>
          <w:tcPr>
            <w:tcW w:w="11490" w:type="dxa"/>
            <w:vAlign w:val="center"/>
          </w:tcPr>
          <w:p>
            <w:pPr>
              <w:spacing w:before="120"/>
              <w:rPr>
                <w:rFonts w:hint="eastAsia" w:eastAsia="宋体"/>
                <w:szCs w:val="21"/>
                <w:lang w:eastAsia="zh-CN"/>
              </w:rPr>
            </w:pPr>
            <w:r>
              <w:rPr>
                <w:szCs w:val="21"/>
              </w:rPr>
              <w:t xml:space="preserve">审核员：   </w:t>
            </w:r>
            <w:r>
              <w:rPr>
                <w:rFonts w:hint="eastAsia"/>
                <w:szCs w:val="21"/>
              </w:rPr>
              <w:t>李蒙生</w:t>
            </w:r>
            <w:r>
              <w:rPr>
                <w:szCs w:val="21"/>
              </w:rPr>
              <w:t xml:space="preserve">          审核时间：</w:t>
            </w:r>
            <w:r>
              <w:rPr>
                <w:rFonts w:hint="eastAsia"/>
                <w:szCs w:val="21"/>
              </w:rPr>
              <w:t>202</w:t>
            </w:r>
            <w:r>
              <w:rPr>
                <w:rFonts w:hint="eastAsia"/>
                <w:szCs w:val="21"/>
                <w:lang w:val="en-US" w:eastAsia="zh-CN"/>
              </w:rPr>
              <w:t>1</w:t>
            </w:r>
            <w:r>
              <w:rPr>
                <w:rFonts w:hint="eastAsia"/>
                <w:szCs w:val="21"/>
              </w:rPr>
              <w:t>.</w:t>
            </w:r>
            <w:r>
              <w:rPr>
                <w:rFonts w:hint="eastAsia"/>
                <w:szCs w:val="21"/>
                <w:lang w:val="en-US" w:eastAsia="zh-CN"/>
              </w:rPr>
              <w:t>2</w:t>
            </w:r>
            <w:r>
              <w:rPr>
                <w:rFonts w:hint="eastAsia"/>
                <w:szCs w:val="21"/>
              </w:rPr>
              <w:t>.</w:t>
            </w:r>
            <w:r>
              <w:rPr>
                <w:rFonts w:hint="eastAsia"/>
                <w:szCs w:val="21"/>
                <w:lang w:val="en-US" w:eastAsia="zh-CN"/>
              </w:rPr>
              <w:t>3</w:t>
            </w:r>
          </w:p>
        </w:tc>
        <w:tc>
          <w:tcPr>
            <w:tcW w:w="709"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vMerge w:val="continue"/>
            <w:vAlign w:val="center"/>
          </w:tcPr>
          <w:p>
            <w:pPr>
              <w:rPr>
                <w:szCs w:val="21"/>
              </w:rPr>
            </w:pPr>
          </w:p>
        </w:tc>
        <w:tc>
          <w:tcPr>
            <w:tcW w:w="869" w:type="dxa"/>
            <w:vMerge w:val="continue"/>
            <w:vAlign w:val="center"/>
          </w:tcPr>
          <w:p>
            <w:pPr>
              <w:rPr>
                <w:szCs w:val="21"/>
              </w:rPr>
            </w:pPr>
          </w:p>
        </w:tc>
        <w:tc>
          <w:tcPr>
            <w:tcW w:w="11490" w:type="dxa"/>
            <w:vAlign w:val="center"/>
          </w:tcPr>
          <w:p>
            <w:pPr>
              <w:rPr>
                <w:szCs w:val="21"/>
              </w:rPr>
            </w:pPr>
            <w:r>
              <w:rPr>
                <w:szCs w:val="21"/>
              </w:rPr>
              <w:t>审核条款：</w:t>
            </w:r>
            <w:r>
              <w:rPr>
                <w:rFonts w:hint="eastAsia"/>
                <w:szCs w:val="21"/>
              </w:rPr>
              <w:t>QEO 4.1/4.3/4.4/5.2/6.2/7.1/9.2/9.3</w:t>
            </w:r>
          </w:p>
        </w:tc>
        <w:tc>
          <w:tcPr>
            <w:tcW w:w="709"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1622" w:type="dxa"/>
          </w:tcPr>
          <w:p>
            <w:pPr>
              <w:spacing w:line="288" w:lineRule="auto"/>
              <w:ind w:right="100"/>
              <w:rPr>
                <w:rFonts w:hint="eastAsia" w:asciiTheme="minorEastAsia" w:hAnsiTheme="minorEastAsia" w:eastAsiaTheme="minorEastAsia"/>
                <w:szCs w:val="21"/>
                <w:lang w:eastAsia="zh-CN"/>
              </w:rPr>
            </w:pPr>
            <w:r>
              <w:rPr>
                <w:rFonts w:hint="eastAsia" w:asciiTheme="minorEastAsia" w:hAnsiTheme="minorEastAsia" w:eastAsiaTheme="minorEastAsia"/>
                <w:szCs w:val="21"/>
              </w:rPr>
              <w:t>企业资质</w:t>
            </w:r>
          </w:p>
        </w:tc>
        <w:tc>
          <w:tcPr>
            <w:tcW w:w="869" w:type="dxa"/>
          </w:tcPr>
          <w:p>
            <w:pPr>
              <w:spacing w:line="288" w:lineRule="auto"/>
              <w:ind w:right="100"/>
              <w:rPr>
                <w:rFonts w:hint="eastAsia" w:asciiTheme="minorEastAsia" w:hAnsiTheme="minorEastAsia" w:eastAsiaTheme="minorEastAsia"/>
                <w:szCs w:val="21"/>
                <w:lang w:val="en-US" w:eastAsia="zh-CN"/>
              </w:rPr>
            </w:pPr>
          </w:p>
        </w:tc>
        <w:tc>
          <w:tcPr>
            <w:tcW w:w="11490" w:type="dxa"/>
          </w:tcPr>
          <w:p>
            <w:pPr>
              <w:spacing w:line="288" w:lineRule="auto"/>
              <w:ind w:right="1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北京皮赛姆工程科技有限公司，成立于2016年05月13日，</w:t>
            </w:r>
          </w:p>
          <w:p>
            <w:pPr>
              <w:spacing w:line="288" w:lineRule="auto"/>
              <w:ind w:right="1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 xml:space="preserve">住所：北京市通州区京州园413号楼1层01-1069。 </w:t>
            </w:r>
          </w:p>
          <w:p>
            <w:pPr>
              <w:spacing w:line="288" w:lineRule="auto"/>
              <w:ind w:right="1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法人：高丙帅。</w:t>
            </w:r>
          </w:p>
          <w:p>
            <w:pPr>
              <w:spacing w:line="288" w:lineRule="auto"/>
              <w:ind w:right="1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经营期限：2016年05月13日至2066年05月12月。</w:t>
            </w:r>
          </w:p>
          <w:p>
            <w:pPr>
              <w:spacing w:line="288" w:lineRule="auto"/>
              <w:ind w:right="1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公司组织机构：办公室、销售部</w:t>
            </w:r>
          </w:p>
          <w:p>
            <w:pPr>
              <w:spacing w:line="288" w:lineRule="auto"/>
              <w:ind w:right="1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企业人数：5人。</w:t>
            </w:r>
          </w:p>
          <w:p>
            <w:pPr>
              <w:spacing w:line="288" w:lineRule="auto"/>
              <w:ind w:right="1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查看公司营业执照，公司申请的认证范围包含在营业执照经营范围内。</w:t>
            </w:r>
          </w:p>
          <w:p>
            <w:pPr>
              <w:spacing w:line="288" w:lineRule="auto"/>
              <w:ind w:right="1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查国家企业信用信息公示系统，企业无异常经营记录、无违法失信记录。</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组织及其环境</w:t>
            </w:r>
          </w:p>
        </w:tc>
        <w:tc>
          <w:tcPr>
            <w:tcW w:w="869" w:type="dxa"/>
          </w:tcPr>
          <w:p>
            <w:pPr>
              <w:spacing w:line="288" w:lineRule="auto"/>
              <w:ind w:right="100"/>
              <w:rPr>
                <w:rFonts w:hint="eastAsia" w:eastAsia="宋体"/>
                <w:szCs w:val="22"/>
                <w:lang w:val="en-US" w:eastAsia="zh-CN"/>
              </w:rPr>
            </w:pPr>
            <w:r>
              <w:rPr>
                <w:rFonts w:hint="eastAsia" w:eastAsia="宋体"/>
                <w:szCs w:val="22"/>
                <w:lang w:val="en-US" w:eastAsia="zh-CN"/>
              </w:rPr>
              <w:t>QEO</w:t>
            </w:r>
          </w:p>
          <w:p>
            <w:pPr>
              <w:spacing w:line="288" w:lineRule="auto"/>
              <w:ind w:right="100"/>
              <w:rPr>
                <w:rFonts w:hint="eastAsia" w:eastAsia="宋体"/>
                <w:szCs w:val="22"/>
                <w:lang w:val="en-US" w:eastAsia="zh-CN"/>
              </w:rPr>
            </w:pPr>
            <w:r>
              <w:rPr>
                <w:rFonts w:hint="eastAsia" w:eastAsia="宋体"/>
                <w:szCs w:val="22"/>
                <w:lang w:val="en-US" w:eastAsia="zh-CN"/>
              </w:rPr>
              <w:t>4.1</w:t>
            </w:r>
          </w:p>
        </w:tc>
        <w:tc>
          <w:tcPr>
            <w:tcW w:w="11490" w:type="dxa"/>
          </w:tcPr>
          <w:p>
            <w:pPr>
              <w:spacing w:line="288" w:lineRule="auto"/>
              <w:ind w:right="100"/>
              <w:rPr>
                <w:rFonts w:hint="eastAsia" w:eastAsia="宋体"/>
                <w:szCs w:val="22"/>
                <w:lang w:val="en-US" w:eastAsia="zh-CN"/>
              </w:rPr>
            </w:pPr>
            <w:r>
              <w:rPr>
                <w:rFonts w:hint="eastAsia" w:eastAsia="宋体"/>
                <w:szCs w:val="22"/>
                <w:lang w:val="en-US" w:eastAsia="zh-CN"/>
              </w:rPr>
              <w:t>公司在建立质量、环境、职业健康安全管理体系时，确定了与组织的宗旨相关并影响其管理体系实现预期结果的能力的外部和内部问题（企业的经营理念、企业文化、企业知识和质量和环境绩效等）。这些因素应包括受组织影响的或能够影响组织的环境状况，组织对这些因素进行监视和评审。</w:t>
            </w:r>
          </w:p>
          <w:p>
            <w:pPr>
              <w:spacing w:line="288" w:lineRule="auto"/>
              <w:ind w:right="100"/>
              <w:rPr>
                <w:rFonts w:hint="eastAsia" w:eastAsia="宋体"/>
                <w:szCs w:val="22"/>
                <w:lang w:val="en-US" w:eastAsia="zh-CN"/>
              </w:rPr>
            </w:pPr>
            <w:r>
              <w:rPr>
                <w:rFonts w:hint="eastAsia" w:eastAsia="宋体"/>
                <w:szCs w:val="22"/>
                <w:lang w:val="en-US" w:eastAsia="zh-CN"/>
              </w:rPr>
              <w:t>提供有《组织内外部环境要素识别表》，识别时间：2020.9.1；外部环境包含政治环境、法律（含标准）、经济环境、社会文化环境、技术环境、自然环境、竞争力等要素；内部环境要素包含企业文化、公司价值观、知识积累、绩效、财务因素、资源因素、人力因素、运营因素等要素。同时明确了相关内外部因素的具体内容、信息来源及具体现状描述，并进行了SWOT分析。</w:t>
            </w:r>
          </w:p>
          <w:p>
            <w:pPr>
              <w:spacing w:line="288" w:lineRule="auto"/>
              <w:ind w:right="100"/>
              <w:rPr>
                <w:rFonts w:hint="default" w:eastAsia="宋体"/>
                <w:szCs w:val="22"/>
                <w:lang w:val="en-US" w:eastAsia="zh-CN"/>
              </w:rPr>
            </w:pPr>
            <w:r>
              <w:rPr>
                <w:rFonts w:hint="eastAsia" w:eastAsia="宋体"/>
                <w:szCs w:val="22"/>
                <w:lang w:val="en-US" w:eastAsia="zh-CN"/>
              </w:rPr>
              <w:t>公司对识别的内外部环境因素进行了评审，提供有《组织内外部环境的监视和评审》，评审时间：2020.9.20，各环境要素评审结果均为为发生改变。</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1" w:hRule="atLeast"/>
        </w:trPr>
        <w:tc>
          <w:tcPr>
            <w:tcW w:w="1622" w:type="dxa"/>
          </w:tcPr>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管理体系范围及不适用</w:t>
            </w:r>
          </w:p>
        </w:tc>
        <w:tc>
          <w:tcPr>
            <w:tcW w:w="869" w:type="dxa"/>
          </w:tcPr>
          <w:p>
            <w:pPr>
              <w:spacing w:line="288" w:lineRule="auto"/>
              <w:ind w:right="100"/>
              <w:rPr>
                <w:rFonts w:hint="eastAsia" w:asciiTheme="minorEastAsia" w:hAnsiTheme="minorEastAsia" w:eastAsiaTheme="minorEastAsia"/>
                <w:szCs w:val="21"/>
              </w:rPr>
            </w:pPr>
            <w:r>
              <w:rPr>
                <w:rFonts w:hint="eastAsia" w:asciiTheme="minorEastAsia" w:hAnsiTheme="minorEastAsia" w:eastAsiaTheme="minorEastAsia"/>
                <w:szCs w:val="21"/>
              </w:rPr>
              <w:t>QEO</w:t>
            </w:r>
          </w:p>
          <w:p>
            <w:pPr>
              <w:spacing w:line="288" w:lineRule="auto"/>
              <w:ind w:right="1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4</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3</w:t>
            </w:r>
          </w:p>
        </w:tc>
        <w:tc>
          <w:tcPr>
            <w:tcW w:w="11490" w:type="dxa"/>
          </w:tcPr>
          <w:p>
            <w:pPr>
              <w:spacing w:line="288" w:lineRule="auto"/>
              <w:ind w:right="100"/>
            </w:pPr>
            <w:r>
              <w:rPr>
                <w:rFonts w:hint="eastAsia"/>
              </w:rPr>
              <w:t>公司</w:t>
            </w:r>
            <w:r>
              <w:rPr>
                <w:rFonts w:hint="eastAsia"/>
                <w:lang w:val="en-US" w:eastAsia="zh-CN"/>
              </w:rPr>
              <w:t>确定了管理体系的范围</w:t>
            </w:r>
            <w:r>
              <w:rPr>
                <w:rFonts w:hint="eastAsia"/>
              </w:rPr>
              <w:t>：</w:t>
            </w:r>
          </w:p>
          <w:p>
            <w:pPr>
              <w:spacing w:line="288" w:lineRule="auto"/>
              <w:ind w:right="100"/>
              <w:rPr>
                <w:rFonts w:hint="eastAsia"/>
              </w:rPr>
            </w:pPr>
            <w:bookmarkStart w:id="0" w:name="审核范围"/>
            <w:r>
              <w:t>Q：化工安全领域的管理咨询、技术咨询、工程安全性</w:t>
            </w:r>
            <w:r>
              <w:rPr>
                <w:rFonts w:hint="eastAsia"/>
              </w:rPr>
              <w:t>评估</w:t>
            </w:r>
          </w:p>
          <w:p>
            <w:r>
              <w:t>E：化工安全领域的管理咨询、技术咨询、工程安全性评估所涉及场所的相关环境管理活动</w:t>
            </w:r>
          </w:p>
          <w:p>
            <w:r>
              <w:t>O：化工安全领域的管理咨询、技术咨询、工程安全性评</w:t>
            </w:r>
            <w:r>
              <w:rPr>
                <w:rFonts w:hint="eastAsia"/>
                <w:lang w:val="en-US" w:eastAsia="zh-CN"/>
              </w:rPr>
              <w:t>估</w:t>
            </w:r>
            <w:r>
              <w:t>所涉及场所的相关职业健康安全管理活动</w:t>
            </w:r>
          </w:p>
          <w:bookmarkEnd w:id="0"/>
          <w:p>
            <w:pPr>
              <w:spacing w:line="288" w:lineRule="auto"/>
              <w:ind w:right="100"/>
            </w:pPr>
            <w:r>
              <w:rPr>
                <w:rFonts w:hint="eastAsia"/>
              </w:rPr>
              <w:t>经营场所：</w:t>
            </w:r>
            <w:r>
              <w:rPr>
                <w:rFonts w:hint="eastAsia"/>
                <w:lang w:val="en-US" w:eastAsia="zh-CN"/>
              </w:rPr>
              <w:t>北京市通州区京州园413号楼1层01-1069。</w:t>
            </w:r>
          </w:p>
          <w:p>
            <w:pPr>
              <w:spacing w:line="288" w:lineRule="auto"/>
              <w:ind w:right="100"/>
            </w:pPr>
            <w:r>
              <w:rPr>
                <w:rFonts w:hint="eastAsia"/>
              </w:rPr>
              <w:t>本手册覆盖的管理体系活动的区域和场所包括办公室</w:t>
            </w:r>
            <w:r>
              <w:rPr>
                <w:rFonts w:hint="eastAsia"/>
                <w:lang w:eastAsia="zh-CN"/>
              </w:rPr>
              <w:t>、</w:t>
            </w:r>
            <w:r>
              <w:rPr>
                <w:rFonts w:hint="eastAsia"/>
                <w:lang w:val="en-US" w:eastAsia="zh-CN"/>
              </w:rPr>
              <w:t>销售部</w:t>
            </w:r>
            <w:r>
              <w:rPr>
                <w:rFonts w:hint="eastAsia"/>
              </w:rPr>
              <w:t>等</w:t>
            </w:r>
            <w:r>
              <w:rPr>
                <w:rFonts w:hint="eastAsia"/>
                <w:lang w:val="en-US" w:eastAsia="zh-CN"/>
              </w:rPr>
              <w:t>销售</w:t>
            </w:r>
            <w:r>
              <w:rPr>
                <w:rFonts w:hint="eastAsia"/>
              </w:rPr>
              <w:t>现场和部门。</w:t>
            </w:r>
          </w:p>
          <w:p>
            <w:pPr>
              <w:spacing w:line="288" w:lineRule="auto"/>
              <w:ind w:right="100"/>
              <w:rPr>
                <w:rFonts w:hint="eastAsia"/>
                <w:lang w:val="en-US" w:eastAsia="zh-CN"/>
              </w:rPr>
            </w:pPr>
            <w:r>
              <w:rPr>
                <w:rFonts w:hint="eastAsia"/>
                <w:lang w:val="en-US" w:eastAsia="zh-CN"/>
              </w:rPr>
              <w:t>根据本公司产品咨询服务特点和客户要求，本公司无自行设计与开发，故GB/T 19001-2016标准条款对本公司不适用8.3条款过程。该条款的不适用，不影响组织确保其产品和服务合格的能力和责任，也不会对增强顾客满意产生影响</w:t>
            </w:r>
            <w:r>
              <w:rPr>
                <w:rFonts w:hint="eastAsia"/>
              </w:rPr>
              <w:t>。</w:t>
            </w:r>
          </w:p>
          <w:p>
            <w:pPr>
              <w:rPr>
                <w:rFonts w:hint="eastAsia"/>
                <w:lang w:eastAsia="zh-CN"/>
              </w:rPr>
            </w:pPr>
            <w:r>
              <w:rPr>
                <w:rFonts w:hint="eastAsia"/>
              </w:rPr>
              <w:t>经识别，本公司外包过程</w:t>
            </w:r>
            <w:r>
              <w:rPr>
                <w:rFonts w:hint="eastAsia"/>
                <w:lang w:val="en-US" w:eastAsia="zh-CN"/>
              </w:rPr>
              <w:t>为报告发送</w:t>
            </w:r>
            <w:r>
              <w:rPr>
                <w:rFonts w:hint="eastAsia"/>
                <w:lang w:eastAsia="zh-CN"/>
              </w:rPr>
              <w:t>。</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3" w:hRule="atLeast"/>
        </w:trPr>
        <w:tc>
          <w:tcPr>
            <w:tcW w:w="1622" w:type="dxa"/>
          </w:tcPr>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管理体系及其过程</w:t>
            </w:r>
          </w:p>
        </w:tc>
        <w:tc>
          <w:tcPr>
            <w:tcW w:w="869" w:type="dxa"/>
          </w:tcPr>
          <w:p>
            <w:pPr>
              <w:spacing w:line="288" w:lineRule="auto"/>
              <w:ind w:right="100"/>
              <w:rPr>
                <w:rFonts w:hint="eastAsia" w:asciiTheme="minorEastAsia" w:hAnsiTheme="minorEastAsia" w:eastAsiaTheme="minorEastAsia"/>
                <w:szCs w:val="21"/>
              </w:rPr>
            </w:pPr>
            <w:r>
              <w:rPr>
                <w:rFonts w:hint="eastAsia" w:asciiTheme="minorEastAsia" w:hAnsiTheme="minorEastAsia" w:eastAsiaTheme="minorEastAsia"/>
                <w:szCs w:val="21"/>
              </w:rPr>
              <w:t>Q</w:t>
            </w:r>
            <w:r>
              <w:rPr>
                <w:rFonts w:hint="eastAsia" w:asciiTheme="minorEastAsia" w:hAnsiTheme="minorEastAsia" w:eastAsiaTheme="minorEastAsia"/>
                <w:color w:val="auto"/>
                <w:u w:val="none"/>
              </w:rPr>
              <w:t>E</w:t>
            </w:r>
            <w:r>
              <w:rPr>
                <w:rFonts w:hint="eastAsia" w:asciiTheme="minorEastAsia" w:hAnsiTheme="minorEastAsia" w:eastAsiaTheme="minorEastAsia"/>
                <w:szCs w:val="21"/>
              </w:rPr>
              <w:t>O</w:t>
            </w:r>
          </w:p>
          <w:p>
            <w:pPr>
              <w:spacing w:line="288" w:lineRule="auto"/>
              <w:ind w:right="100"/>
              <w:rPr>
                <w:rFonts w:asciiTheme="minorEastAsia" w:hAnsiTheme="minorEastAsia" w:eastAsiaTheme="minorEastAsia"/>
                <w:color w:val="auto"/>
                <w:u w:val="none"/>
              </w:rPr>
            </w:pPr>
            <w:r>
              <w:rPr>
                <w:rFonts w:hint="eastAsia" w:asciiTheme="minorEastAsia" w:hAnsiTheme="minorEastAsia" w:eastAsiaTheme="minorEastAsia"/>
                <w:szCs w:val="21"/>
              </w:rPr>
              <w:t>4.4</w:t>
            </w:r>
          </w:p>
          <w:p>
            <w:pPr>
              <w:pStyle w:val="12"/>
              <w:adjustRightInd/>
              <w:spacing w:line="288" w:lineRule="auto"/>
              <w:rPr>
                <w:rFonts w:asciiTheme="minorEastAsia" w:hAnsiTheme="minorEastAsia" w:eastAsiaTheme="minorEastAsia"/>
                <w:color w:val="auto"/>
                <w:u w:val="none"/>
              </w:rPr>
            </w:pPr>
          </w:p>
        </w:tc>
        <w:tc>
          <w:tcPr>
            <w:tcW w:w="11490" w:type="dxa"/>
          </w:tcPr>
          <w:p>
            <w:pPr>
              <w:spacing w:line="288" w:lineRule="auto"/>
              <w:ind w:right="100"/>
              <w:rPr>
                <w:rFonts w:hint="eastAsia" w:eastAsia="宋体"/>
                <w:szCs w:val="22"/>
              </w:rPr>
            </w:pPr>
            <w:r>
              <w:rPr>
                <w:rFonts w:hint="eastAsia" w:eastAsia="宋体"/>
                <w:szCs w:val="22"/>
              </w:rPr>
              <w:t>公司</w:t>
            </w:r>
            <w:r>
              <w:rPr>
                <w:rFonts w:hint="eastAsia" w:eastAsia="宋体"/>
                <w:szCs w:val="22"/>
                <w:lang w:val="en-US" w:eastAsia="zh-CN"/>
              </w:rPr>
              <w:t>按照</w:t>
            </w:r>
            <w:r>
              <w:rPr>
                <w:rFonts w:hint="eastAsia" w:eastAsia="宋体"/>
                <w:szCs w:val="22"/>
              </w:rPr>
              <w:t>IS09001:2015； ISO14001:2015；</w:t>
            </w:r>
            <w:r>
              <w:rPr>
                <w:rFonts w:hint="eastAsia" w:eastAsia="宋体"/>
                <w:szCs w:val="22"/>
                <w:lang w:eastAsia="zh-CN"/>
              </w:rPr>
              <w:t>GB/T45001-2020/ISO45001：2018</w:t>
            </w:r>
            <w:r>
              <w:rPr>
                <w:rFonts w:hint="eastAsia" w:eastAsia="宋体"/>
                <w:szCs w:val="22"/>
              </w:rPr>
              <w:t xml:space="preserve"> 标准要求建立管理体系</w:t>
            </w:r>
            <w:r>
              <w:rPr>
                <w:rFonts w:hint="eastAsia" w:eastAsia="宋体"/>
                <w:szCs w:val="22"/>
                <w:lang w:eastAsia="zh-CN"/>
              </w:rPr>
              <w:t>，</w:t>
            </w:r>
            <w:r>
              <w:rPr>
                <w:rFonts w:hint="eastAsia" w:eastAsia="宋体"/>
                <w:szCs w:val="22"/>
              </w:rPr>
              <w:t>编制管理手册，加以实施和保持，并持续改进其有效性。</w:t>
            </w:r>
          </w:p>
          <w:p>
            <w:pPr>
              <w:spacing w:line="288" w:lineRule="auto"/>
              <w:ind w:right="100"/>
              <w:rPr>
                <w:rFonts w:hint="default" w:eastAsia="宋体"/>
                <w:szCs w:val="22"/>
                <w:lang w:val="en-US" w:eastAsia="zh-CN"/>
              </w:rPr>
            </w:pPr>
            <w:r>
              <w:rPr>
                <w:rFonts w:hint="eastAsia" w:eastAsia="宋体"/>
                <w:szCs w:val="22"/>
                <w:lang w:val="en-US" w:eastAsia="zh-CN"/>
              </w:rPr>
              <w:t>公司管理体系建立于2020年9月1日，管理体系手册文件编号：PSM</w:t>
            </w:r>
            <w:r>
              <w:rPr>
                <w:rFonts w:hint="eastAsia" w:eastAsia="宋体"/>
                <w:szCs w:val="22"/>
              </w:rPr>
              <w:t>-SC-</w:t>
            </w:r>
            <w:r>
              <w:rPr>
                <w:rFonts w:hint="default" w:eastAsia="宋体"/>
                <w:szCs w:val="22"/>
                <w:lang w:val="en-US"/>
              </w:rPr>
              <w:t>2020</w:t>
            </w:r>
            <w:r>
              <w:rPr>
                <w:rFonts w:hint="eastAsia" w:eastAsia="宋体"/>
                <w:szCs w:val="22"/>
                <w:lang w:val="en-US" w:eastAsia="zh-CN"/>
              </w:rPr>
              <w:t>。因公司经营地址变更，由北京市通州区永顺镇安顺路249号21幢1层-001变更为北京市通州区京洲园413号楼1层01-1069，管理手册版本由A/0版升级为A/1版。</w:t>
            </w:r>
          </w:p>
          <w:p>
            <w:pPr>
              <w:spacing w:line="288" w:lineRule="auto"/>
              <w:ind w:right="100"/>
              <w:rPr>
                <w:rFonts w:hint="eastAsia" w:eastAsia="宋体"/>
                <w:szCs w:val="22"/>
              </w:rPr>
            </w:pPr>
            <w:r>
              <w:rPr>
                <w:rFonts w:hint="eastAsia" w:eastAsia="宋体"/>
                <w:szCs w:val="22"/>
              </w:rPr>
              <w:t>公司根据服务过程控制要求，制定相应的程序文件、管理</w:t>
            </w:r>
            <w:r>
              <w:rPr>
                <w:rFonts w:hint="eastAsia" w:eastAsia="宋体"/>
                <w:szCs w:val="22"/>
                <w:lang w:val="en-US" w:eastAsia="zh-CN"/>
              </w:rPr>
              <w:t>制度汇编</w:t>
            </w:r>
            <w:r>
              <w:rPr>
                <w:rFonts w:hint="eastAsia" w:eastAsia="宋体"/>
                <w:szCs w:val="22"/>
              </w:rPr>
              <w:t>等体系文件，支持质量管理体系各过程运行。</w:t>
            </w:r>
          </w:p>
          <w:p>
            <w:pPr>
              <w:spacing w:line="288" w:lineRule="auto"/>
              <w:ind w:right="100"/>
              <w:rPr>
                <w:rFonts w:hint="eastAsia" w:eastAsia="宋体"/>
                <w:szCs w:val="22"/>
              </w:rPr>
            </w:pPr>
            <w:r>
              <w:rPr>
                <w:rFonts w:hint="eastAsia" w:eastAsia="宋体"/>
                <w:szCs w:val="22"/>
              </w:rPr>
              <w:t>查看《程序文件》</w:t>
            </w:r>
            <w:r>
              <w:rPr>
                <w:rFonts w:hint="eastAsia" w:eastAsia="宋体"/>
                <w:szCs w:val="22"/>
                <w:lang w:eastAsia="zh-CN"/>
              </w:rPr>
              <w:t>，</w:t>
            </w:r>
            <w:r>
              <w:rPr>
                <w:rFonts w:hint="eastAsia" w:eastAsia="宋体"/>
                <w:szCs w:val="22"/>
                <w:lang w:val="en-US" w:eastAsia="zh-CN"/>
              </w:rPr>
              <w:t>文件编号：PSM</w:t>
            </w:r>
            <w:r>
              <w:rPr>
                <w:rFonts w:hint="eastAsia" w:eastAsia="宋体"/>
                <w:szCs w:val="22"/>
              </w:rPr>
              <w:t>-</w:t>
            </w:r>
            <w:r>
              <w:rPr>
                <w:rFonts w:hint="eastAsia"/>
                <w:szCs w:val="22"/>
                <w:lang w:val="en-US" w:eastAsia="zh-CN"/>
              </w:rPr>
              <w:t>C</w:t>
            </w:r>
            <w:r>
              <w:rPr>
                <w:rFonts w:hint="eastAsia" w:eastAsia="宋体"/>
                <w:szCs w:val="22"/>
                <w:lang w:val="en-US" w:eastAsia="zh-CN"/>
              </w:rPr>
              <w:t>X</w:t>
            </w:r>
            <w:r>
              <w:rPr>
                <w:rFonts w:hint="eastAsia" w:eastAsia="宋体"/>
                <w:szCs w:val="22"/>
              </w:rPr>
              <w:t>-</w:t>
            </w:r>
            <w:r>
              <w:rPr>
                <w:rFonts w:hint="default" w:eastAsia="宋体"/>
                <w:szCs w:val="22"/>
                <w:lang w:val="en-US"/>
              </w:rPr>
              <w:t>2020</w:t>
            </w:r>
            <w:r>
              <w:rPr>
                <w:rFonts w:hint="eastAsia" w:eastAsia="宋体"/>
                <w:szCs w:val="22"/>
                <w:lang w:val="en-US" w:eastAsia="zh-CN"/>
              </w:rPr>
              <w:t>，因公司经营地址变更，由北京市通州区永顺镇安顺路249号21幢1层-001变更为北京市通州区京洲园413号楼1层01-1069，程序文件版本由A/0版升级为A/1版。</w:t>
            </w:r>
            <w:r>
              <w:rPr>
                <w:rFonts w:hint="eastAsia" w:eastAsia="宋体"/>
                <w:szCs w:val="22"/>
              </w:rPr>
              <w:t>包含</w:t>
            </w:r>
            <w:r>
              <w:rPr>
                <w:rFonts w:hint="eastAsia" w:eastAsia="宋体"/>
                <w:szCs w:val="22"/>
                <w:lang w:val="en-US" w:eastAsia="zh-CN"/>
              </w:rPr>
              <w:t>组织环境与相关方要求管理程序、环境因素的识别与评价控制程序、法律法规与其他要求控制程序、服务提供控制程序、应急准备与应急响应控制程序等30</w:t>
            </w:r>
            <w:r>
              <w:rPr>
                <w:rFonts w:hint="eastAsia" w:eastAsia="宋体"/>
                <w:szCs w:val="22"/>
              </w:rPr>
              <w:t>个控制程序，以支持管理体系运行各过程。</w:t>
            </w:r>
          </w:p>
          <w:p>
            <w:pPr>
              <w:spacing w:line="288" w:lineRule="auto"/>
              <w:ind w:right="100"/>
              <w:rPr>
                <w:rFonts w:hint="eastAsia" w:eastAsia="宋体"/>
                <w:szCs w:val="22"/>
              </w:rPr>
            </w:pPr>
            <w:r>
              <w:rPr>
                <w:rFonts w:hint="eastAsia" w:eastAsia="宋体"/>
                <w:szCs w:val="22"/>
              </w:rPr>
              <w:t>查看《</w:t>
            </w:r>
            <w:r>
              <w:rPr>
                <w:rFonts w:hint="eastAsia" w:eastAsia="宋体"/>
                <w:szCs w:val="22"/>
                <w:lang w:val="en-US" w:eastAsia="zh-CN"/>
              </w:rPr>
              <w:t>管理制度汇编</w:t>
            </w:r>
            <w:r>
              <w:rPr>
                <w:rFonts w:hint="eastAsia" w:eastAsia="宋体"/>
                <w:szCs w:val="22"/>
              </w:rPr>
              <w:t>》包含废弃物管理制度</w:t>
            </w:r>
            <w:r>
              <w:rPr>
                <w:rFonts w:hint="eastAsia" w:eastAsia="宋体"/>
                <w:szCs w:val="22"/>
                <w:lang w:eastAsia="zh-CN"/>
              </w:rPr>
              <w:t>、</w:t>
            </w:r>
            <w:r>
              <w:rPr>
                <w:rFonts w:hint="eastAsia" w:eastAsia="宋体"/>
                <w:szCs w:val="22"/>
              </w:rPr>
              <w:t>消防安全管理制度</w:t>
            </w:r>
            <w:r>
              <w:rPr>
                <w:rFonts w:hint="eastAsia" w:eastAsia="宋体"/>
                <w:szCs w:val="22"/>
                <w:lang w:eastAsia="zh-CN"/>
              </w:rPr>
              <w:t>、</w:t>
            </w:r>
            <w:r>
              <w:rPr>
                <w:rFonts w:hint="eastAsia" w:eastAsia="宋体"/>
                <w:szCs w:val="22"/>
              </w:rPr>
              <w:t>安全用电管理制度</w:t>
            </w:r>
            <w:r>
              <w:rPr>
                <w:rFonts w:hint="eastAsia" w:eastAsia="宋体"/>
                <w:szCs w:val="22"/>
                <w:lang w:eastAsia="zh-CN"/>
              </w:rPr>
              <w:t>、</w:t>
            </w:r>
            <w:r>
              <w:rPr>
                <w:rFonts w:hint="eastAsia" w:eastAsia="宋体"/>
                <w:szCs w:val="22"/>
              </w:rPr>
              <w:t>岗位职责与任职要求</w:t>
            </w:r>
            <w:r>
              <w:rPr>
                <w:rFonts w:hint="eastAsia" w:eastAsia="宋体"/>
                <w:szCs w:val="22"/>
                <w:lang w:eastAsia="zh-CN"/>
              </w:rPr>
              <w:t>、</w:t>
            </w:r>
            <w:r>
              <w:rPr>
                <w:rFonts w:hint="eastAsia" w:eastAsia="宋体"/>
                <w:szCs w:val="22"/>
              </w:rPr>
              <w:t>员工行为规范</w:t>
            </w:r>
            <w:r>
              <w:rPr>
                <w:rFonts w:hint="eastAsia" w:eastAsia="宋体"/>
                <w:szCs w:val="22"/>
                <w:lang w:eastAsia="zh-CN"/>
              </w:rPr>
              <w:t>、</w:t>
            </w:r>
            <w:r>
              <w:rPr>
                <w:rFonts w:hint="eastAsia" w:eastAsia="宋体"/>
                <w:szCs w:val="22"/>
              </w:rPr>
              <w:t>采购产品检验制度</w:t>
            </w:r>
            <w:r>
              <w:rPr>
                <w:rFonts w:hint="eastAsia" w:eastAsia="宋体"/>
                <w:szCs w:val="22"/>
                <w:lang w:eastAsia="zh-CN"/>
              </w:rPr>
              <w:t>、</w:t>
            </w:r>
            <w:r>
              <w:rPr>
                <w:rFonts w:hint="eastAsia" w:eastAsia="宋体"/>
                <w:szCs w:val="22"/>
              </w:rPr>
              <w:t>触电事故应急预案</w:t>
            </w:r>
            <w:r>
              <w:rPr>
                <w:rFonts w:hint="eastAsia" w:eastAsia="宋体"/>
                <w:szCs w:val="22"/>
                <w:lang w:eastAsia="zh-CN"/>
              </w:rPr>
              <w:t>、</w:t>
            </w:r>
            <w:r>
              <w:rPr>
                <w:rFonts w:hint="eastAsia" w:eastAsia="宋体"/>
                <w:szCs w:val="22"/>
              </w:rPr>
              <w:t>消防事故应急预案</w:t>
            </w:r>
            <w:r>
              <w:rPr>
                <w:rFonts w:hint="eastAsia" w:eastAsia="宋体"/>
                <w:szCs w:val="22"/>
                <w:lang w:eastAsia="zh-CN"/>
              </w:rPr>
              <w:t>、</w:t>
            </w:r>
            <w:r>
              <w:rPr>
                <w:rFonts w:hint="eastAsia" w:eastAsia="宋体"/>
                <w:szCs w:val="22"/>
              </w:rPr>
              <w:t>销售人员服务指南</w:t>
            </w:r>
            <w:r>
              <w:rPr>
                <w:rFonts w:hint="eastAsia" w:eastAsia="宋体"/>
                <w:szCs w:val="22"/>
                <w:lang w:eastAsia="zh-CN"/>
              </w:rPr>
              <w:t>、</w:t>
            </w:r>
            <w:r>
              <w:rPr>
                <w:rFonts w:hint="eastAsia" w:eastAsia="宋体"/>
                <w:szCs w:val="22"/>
              </w:rPr>
              <w:t>销售人员考核与奖惩办法等</w:t>
            </w:r>
            <w:r>
              <w:rPr>
                <w:rFonts w:hint="eastAsia" w:eastAsia="宋体"/>
                <w:szCs w:val="22"/>
                <w:lang w:val="en-US" w:eastAsia="zh-CN"/>
              </w:rPr>
              <w:t>10</w:t>
            </w:r>
            <w:r>
              <w:rPr>
                <w:rFonts w:hint="eastAsia" w:eastAsia="宋体"/>
                <w:szCs w:val="22"/>
              </w:rPr>
              <w:t>项相关管理制度和操作规程，以规范管理，支持管理体系各过程运行。</w:t>
            </w:r>
          </w:p>
          <w:p>
            <w:pPr>
              <w:spacing w:line="288" w:lineRule="auto"/>
              <w:ind w:right="100"/>
              <w:rPr>
                <w:rFonts w:hint="default" w:eastAsia="宋体"/>
                <w:szCs w:val="22"/>
                <w:lang w:val="en-US" w:eastAsia="zh-CN"/>
              </w:rPr>
            </w:pPr>
            <w:r>
              <w:rPr>
                <w:rFonts w:hint="eastAsia" w:eastAsia="宋体"/>
                <w:szCs w:val="22"/>
              </w:rPr>
              <w:t>目前管理体系运行正常。</w:t>
            </w:r>
          </w:p>
        </w:tc>
        <w:tc>
          <w:tcPr>
            <w:tcW w:w="709" w:type="dxa"/>
          </w:tcPr>
          <w:p>
            <w:pPr>
              <w:spacing w:line="288" w:lineRule="auto"/>
              <w:ind w:right="100"/>
              <w:rPr>
                <w:rFonts w:hint="eastAsia"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管理方针</w:t>
            </w:r>
          </w:p>
        </w:tc>
        <w:tc>
          <w:tcPr>
            <w:tcW w:w="869" w:type="dxa"/>
          </w:tcPr>
          <w:p>
            <w:pPr>
              <w:spacing w:line="288" w:lineRule="auto"/>
              <w:ind w:right="100"/>
              <w:rPr>
                <w:rFonts w:hint="eastAsia" w:asciiTheme="minorEastAsia" w:hAnsiTheme="minorEastAsia" w:eastAsiaTheme="minorEastAsia"/>
                <w:szCs w:val="21"/>
              </w:rPr>
            </w:pPr>
            <w:r>
              <w:rPr>
                <w:rFonts w:hint="eastAsia" w:asciiTheme="minorEastAsia" w:hAnsiTheme="minorEastAsia" w:eastAsiaTheme="minorEastAsia"/>
                <w:szCs w:val="21"/>
              </w:rPr>
              <w:t>Q</w:t>
            </w:r>
            <w:r>
              <w:rPr>
                <w:rFonts w:hint="eastAsia" w:asciiTheme="minorEastAsia" w:hAnsiTheme="minorEastAsia" w:eastAsiaTheme="minorEastAsia"/>
                <w:color w:val="auto"/>
                <w:u w:val="none"/>
              </w:rPr>
              <w:t>E</w:t>
            </w:r>
            <w:r>
              <w:rPr>
                <w:rFonts w:hint="eastAsia" w:asciiTheme="minorEastAsia" w:hAnsiTheme="minorEastAsia" w:eastAsiaTheme="minorEastAsia"/>
                <w:szCs w:val="21"/>
              </w:rPr>
              <w:t>O</w:t>
            </w:r>
          </w:p>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5.2</w:t>
            </w:r>
          </w:p>
        </w:tc>
        <w:tc>
          <w:tcPr>
            <w:tcW w:w="11490" w:type="dxa"/>
          </w:tcPr>
          <w:p>
            <w:pPr>
              <w:spacing w:line="288" w:lineRule="auto"/>
              <w:ind w:right="100"/>
              <w:rPr>
                <w:rFonts w:hint="eastAsia" w:eastAsia="宋体"/>
                <w:szCs w:val="22"/>
                <w:lang w:val="en-US" w:eastAsia="zh-CN"/>
              </w:rPr>
            </w:pPr>
            <w:r>
              <w:rPr>
                <w:rFonts w:hint="eastAsia" w:eastAsia="宋体"/>
                <w:szCs w:val="22"/>
                <w:lang w:val="en-US" w:eastAsia="zh-CN"/>
              </w:rPr>
              <w:t>1、公司质量方针：</w:t>
            </w:r>
          </w:p>
          <w:p>
            <w:pPr>
              <w:spacing w:line="288" w:lineRule="auto"/>
              <w:ind w:right="100"/>
              <w:rPr>
                <w:rFonts w:hint="eastAsia" w:eastAsia="宋体"/>
                <w:szCs w:val="22"/>
                <w:lang w:val="en-US" w:eastAsia="zh-CN"/>
              </w:rPr>
            </w:pPr>
            <w:r>
              <w:rPr>
                <w:rFonts w:hint="eastAsia" w:eastAsia="宋体"/>
                <w:szCs w:val="22"/>
                <w:lang w:val="en-US" w:eastAsia="zh-CN"/>
              </w:rPr>
              <w:t>突出全面管理、科学诚信服务、追求客户满意、创造优质服务；</w:t>
            </w:r>
          </w:p>
          <w:p>
            <w:pPr>
              <w:spacing w:line="288" w:lineRule="auto"/>
              <w:ind w:right="100"/>
              <w:rPr>
                <w:rFonts w:hint="eastAsia" w:eastAsia="宋体"/>
                <w:szCs w:val="22"/>
                <w:lang w:val="en-US" w:eastAsia="zh-CN"/>
              </w:rPr>
            </w:pPr>
            <w:r>
              <w:rPr>
                <w:rFonts w:hint="eastAsia" w:eastAsia="宋体"/>
                <w:szCs w:val="22"/>
                <w:lang w:val="en-US" w:eastAsia="zh-CN"/>
              </w:rPr>
              <w:t>遵纪守法经营、坚持高效履约、不断持续改进、永远追求卓越。</w:t>
            </w:r>
          </w:p>
          <w:p>
            <w:pPr>
              <w:spacing w:line="288" w:lineRule="auto"/>
              <w:ind w:right="100"/>
              <w:rPr>
                <w:rFonts w:hint="eastAsia" w:eastAsia="宋体"/>
                <w:szCs w:val="22"/>
                <w:lang w:val="en-US" w:eastAsia="zh-CN"/>
              </w:rPr>
            </w:pPr>
            <w:r>
              <w:rPr>
                <w:rFonts w:hint="eastAsia" w:eastAsia="宋体"/>
                <w:szCs w:val="22"/>
                <w:lang w:val="en-US" w:eastAsia="zh-CN"/>
              </w:rPr>
              <w:t>2、公司环境方针：</w:t>
            </w:r>
          </w:p>
          <w:p>
            <w:pPr>
              <w:spacing w:line="288" w:lineRule="auto"/>
              <w:ind w:right="100"/>
              <w:rPr>
                <w:rFonts w:hint="eastAsia" w:eastAsia="宋体"/>
                <w:szCs w:val="22"/>
                <w:lang w:val="en-US" w:eastAsia="zh-CN"/>
              </w:rPr>
            </w:pPr>
            <w:r>
              <w:rPr>
                <w:rFonts w:hint="eastAsia" w:eastAsia="宋体"/>
                <w:szCs w:val="22"/>
                <w:lang w:val="en-US" w:eastAsia="zh-CN"/>
              </w:rPr>
              <w:t>营造绿色环境、准守法律法规、提高环境意识；</w:t>
            </w:r>
          </w:p>
          <w:p>
            <w:pPr>
              <w:spacing w:line="288" w:lineRule="auto"/>
              <w:ind w:right="100"/>
              <w:rPr>
                <w:rFonts w:hint="eastAsia" w:eastAsia="宋体"/>
                <w:szCs w:val="22"/>
                <w:lang w:val="en-US" w:eastAsia="zh-CN"/>
              </w:rPr>
            </w:pPr>
            <w:r>
              <w:rPr>
                <w:rFonts w:hint="eastAsia" w:eastAsia="宋体"/>
                <w:szCs w:val="22"/>
                <w:lang w:val="en-US" w:eastAsia="zh-CN"/>
              </w:rPr>
              <w:t>实现污染预防、推进节能降耗、达到持续改进。</w:t>
            </w:r>
          </w:p>
          <w:p>
            <w:pPr>
              <w:spacing w:line="288" w:lineRule="auto"/>
              <w:ind w:right="100"/>
              <w:rPr>
                <w:rFonts w:hint="eastAsia" w:eastAsia="宋体"/>
                <w:szCs w:val="22"/>
                <w:lang w:val="en-US" w:eastAsia="zh-CN"/>
              </w:rPr>
            </w:pPr>
            <w:r>
              <w:rPr>
                <w:rFonts w:hint="eastAsia" w:eastAsia="宋体"/>
                <w:szCs w:val="22"/>
                <w:lang w:val="en-US" w:eastAsia="zh-CN"/>
              </w:rPr>
              <w:t>3、职业健康安全方针：</w:t>
            </w:r>
          </w:p>
          <w:p>
            <w:pPr>
              <w:spacing w:line="288" w:lineRule="auto"/>
              <w:ind w:right="100"/>
              <w:rPr>
                <w:rFonts w:hint="eastAsia" w:eastAsia="宋体"/>
                <w:szCs w:val="22"/>
                <w:lang w:val="en-US" w:eastAsia="zh-CN"/>
              </w:rPr>
            </w:pPr>
            <w:r>
              <w:rPr>
                <w:rFonts w:hint="eastAsia" w:eastAsia="宋体"/>
                <w:szCs w:val="22"/>
                <w:lang w:val="en-US" w:eastAsia="zh-CN"/>
              </w:rPr>
              <w:t>预防为主、控制保护；强化监督、有法可依；</w:t>
            </w:r>
          </w:p>
          <w:p>
            <w:pPr>
              <w:spacing w:line="288" w:lineRule="auto"/>
              <w:ind w:right="100"/>
              <w:rPr>
                <w:rFonts w:hint="eastAsia" w:eastAsia="宋体"/>
                <w:szCs w:val="22"/>
                <w:lang w:val="en-US" w:eastAsia="zh-CN"/>
              </w:rPr>
            </w:pPr>
            <w:r>
              <w:rPr>
                <w:rFonts w:hint="eastAsia" w:eastAsia="宋体"/>
                <w:szCs w:val="22"/>
                <w:lang w:val="en-US" w:eastAsia="zh-CN"/>
              </w:rPr>
              <w:t>以人为本、提高素质；科学管理、持续改进。</w:t>
            </w:r>
          </w:p>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方针沟通方式：公司在手册中对方针进行公开声明，在公司内部会议进行宣讲、沟通，全体员工能够准确理解其含义并在工作中贯彻落实方针。在与相关方沟通时，向相关方说明公司方针。</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管理目标</w:t>
            </w:r>
          </w:p>
        </w:tc>
        <w:tc>
          <w:tcPr>
            <w:tcW w:w="869" w:type="dxa"/>
          </w:tcPr>
          <w:p>
            <w:pPr>
              <w:spacing w:line="288" w:lineRule="auto"/>
              <w:ind w:right="100"/>
              <w:rPr>
                <w:rFonts w:hint="eastAsia" w:asciiTheme="minorEastAsia" w:hAnsiTheme="minorEastAsia" w:eastAsiaTheme="minorEastAsia"/>
                <w:szCs w:val="21"/>
              </w:rPr>
            </w:pPr>
            <w:r>
              <w:rPr>
                <w:rFonts w:hint="eastAsia" w:asciiTheme="minorEastAsia" w:hAnsiTheme="minorEastAsia" w:eastAsiaTheme="minorEastAsia"/>
                <w:szCs w:val="21"/>
              </w:rPr>
              <w:t>Q</w:t>
            </w:r>
            <w:r>
              <w:rPr>
                <w:rFonts w:hint="eastAsia" w:asciiTheme="minorEastAsia" w:hAnsiTheme="minorEastAsia" w:eastAsiaTheme="minorEastAsia"/>
                <w:color w:val="auto"/>
                <w:u w:val="none"/>
              </w:rPr>
              <w:t>E</w:t>
            </w:r>
            <w:r>
              <w:rPr>
                <w:rFonts w:hint="eastAsia" w:asciiTheme="minorEastAsia" w:hAnsiTheme="minorEastAsia" w:eastAsiaTheme="minorEastAsia"/>
                <w:szCs w:val="21"/>
              </w:rPr>
              <w:t>O</w:t>
            </w:r>
          </w:p>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6.2</w:t>
            </w:r>
          </w:p>
        </w:tc>
        <w:tc>
          <w:tcPr>
            <w:tcW w:w="11490" w:type="dxa"/>
          </w:tcPr>
          <w:p>
            <w:pPr>
              <w:spacing w:line="288" w:lineRule="auto"/>
              <w:ind w:right="100"/>
              <w:rPr>
                <w:rFonts w:hint="eastAsia" w:eastAsia="宋体"/>
                <w:szCs w:val="22"/>
                <w:lang w:val="en-US" w:eastAsia="zh-CN"/>
              </w:rPr>
            </w:pPr>
            <w:r>
              <w:rPr>
                <w:rFonts w:hint="eastAsia" w:eastAsia="宋体"/>
                <w:szCs w:val="22"/>
                <w:lang w:val="en-US" w:eastAsia="zh-CN"/>
              </w:rPr>
              <w:t>1.公司的质量目标：1)顾客满意度≥95分；2)产品交付及时率≥98%</w:t>
            </w:r>
          </w:p>
          <w:p>
            <w:pPr>
              <w:spacing w:line="288" w:lineRule="auto"/>
              <w:ind w:right="100"/>
              <w:rPr>
                <w:rFonts w:hint="eastAsia" w:eastAsia="宋体"/>
                <w:szCs w:val="22"/>
                <w:lang w:val="en-US" w:eastAsia="zh-CN"/>
              </w:rPr>
            </w:pPr>
            <w:r>
              <w:rPr>
                <w:rFonts w:hint="eastAsia" w:eastAsia="宋体"/>
                <w:szCs w:val="22"/>
                <w:lang w:val="en-US" w:eastAsia="zh-CN"/>
              </w:rPr>
              <w:t>2.环境目标：1）火灾发生为零；2）固体废弃物分类收集合规处置率100%；</w:t>
            </w:r>
          </w:p>
          <w:p>
            <w:pPr>
              <w:spacing w:line="288" w:lineRule="auto"/>
              <w:ind w:right="100"/>
              <w:rPr>
                <w:rFonts w:hint="eastAsia" w:eastAsia="宋体"/>
                <w:szCs w:val="22"/>
                <w:lang w:val="en-US" w:eastAsia="zh-CN"/>
              </w:rPr>
            </w:pPr>
            <w:r>
              <w:rPr>
                <w:rFonts w:hint="eastAsia" w:eastAsia="宋体"/>
                <w:szCs w:val="22"/>
                <w:lang w:val="en-US" w:eastAsia="zh-CN"/>
              </w:rPr>
              <w:t>3.职业健康安全目标：1)火灾发生为零；2)意外伤害事故发生次数为0。</w:t>
            </w:r>
          </w:p>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lang w:val="en-US" w:eastAsia="zh-CN"/>
              </w:rPr>
              <w:t>公司</w:t>
            </w:r>
            <w:r>
              <w:rPr>
                <w:rFonts w:hint="eastAsia" w:asciiTheme="minorEastAsia" w:hAnsiTheme="minorEastAsia" w:eastAsiaTheme="minorEastAsia"/>
                <w:szCs w:val="21"/>
              </w:rPr>
              <w:t>目标可测量，与管理方针一致，公司相关部门和层次建立了分目标，形成了体系。</w:t>
            </w:r>
          </w:p>
          <w:p>
            <w:pPr>
              <w:spacing w:line="288" w:lineRule="auto"/>
              <w:ind w:right="100"/>
              <w:rPr>
                <w:rFonts w:asciiTheme="minorEastAsia" w:hAnsiTheme="minorEastAsia" w:eastAsiaTheme="minorEastAsia"/>
                <w:szCs w:val="21"/>
              </w:rPr>
            </w:pPr>
            <w:r>
              <w:rPr>
                <w:rFonts w:hint="eastAsia" w:ascii="宋体" w:hAnsi="宋体" w:eastAsia="宋体" w:cs="宋体"/>
                <w:sz w:val="21"/>
                <w:szCs w:val="21"/>
              </w:rPr>
              <w:t>组织</w:t>
            </w:r>
            <w:r>
              <w:rPr>
                <w:rFonts w:hint="eastAsia" w:ascii="宋体" w:hAnsi="宋体" w:eastAsia="宋体" w:cs="宋体"/>
                <w:color w:val="000000"/>
                <w:sz w:val="21"/>
                <w:szCs w:val="21"/>
              </w:rPr>
              <w:t>对公司质量、环境、职业健康安全目标、指标予以分解，并在相关职能层次部门建立分目标，查见质量\环境\职业健康安全目标</w:t>
            </w:r>
            <w:r>
              <w:rPr>
                <w:rFonts w:hint="eastAsia" w:ascii="宋体" w:hAnsi="宋体" w:cs="宋体"/>
                <w:color w:val="000000"/>
                <w:sz w:val="21"/>
                <w:szCs w:val="21"/>
                <w:lang w:val="en-US" w:eastAsia="zh-CN"/>
              </w:rPr>
              <w:t>完成情况</w:t>
            </w:r>
            <w:r>
              <w:rPr>
                <w:rFonts w:hint="eastAsia" w:ascii="宋体" w:hAnsi="宋体" w:eastAsia="宋体" w:cs="宋体"/>
                <w:color w:val="000000"/>
                <w:sz w:val="21"/>
                <w:szCs w:val="21"/>
              </w:rPr>
              <w:t xml:space="preserve">， </w:t>
            </w:r>
            <w:r>
              <w:rPr>
                <w:rFonts w:hint="eastAsia" w:ascii="宋体" w:hAnsi="宋体" w:cs="宋体"/>
                <w:color w:val="000000"/>
                <w:sz w:val="21"/>
                <w:szCs w:val="21"/>
                <w:lang w:val="en-US" w:eastAsia="zh-CN"/>
              </w:rPr>
              <w:t>检查时间：</w:t>
            </w:r>
            <w:r>
              <w:rPr>
                <w:rFonts w:hint="eastAsia" w:ascii="宋体" w:hAnsi="宋体" w:eastAsia="宋体" w:cs="宋体"/>
                <w:color w:val="000000"/>
                <w:sz w:val="21"/>
                <w:szCs w:val="21"/>
              </w:rPr>
              <w:t>2020.</w:t>
            </w:r>
            <w:r>
              <w:rPr>
                <w:rFonts w:hint="eastAsia" w:ascii="宋体" w:hAnsi="宋体" w:cs="宋体"/>
                <w:color w:val="000000"/>
                <w:sz w:val="21"/>
                <w:szCs w:val="21"/>
                <w:lang w:val="en-US" w:eastAsia="zh-CN"/>
              </w:rPr>
              <w:t>12</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3</w:t>
            </w:r>
            <w:r>
              <w:rPr>
                <w:rFonts w:hint="eastAsia" w:ascii="宋体" w:hAnsi="宋体" w:cs="宋体"/>
                <w:color w:val="000000"/>
                <w:sz w:val="21"/>
                <w:szCs w:val="21"/>
                <w:lang w:val="en-US" w:eastAsia="zh-CN"/>
              </w:rPr>
              <w:t>1</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各目标均</w:t>
            </w:r>
            <w:r>
              <w:rPr>
                <w:rFonts w:hint="eastAsia" w:ascii="宋体" w:hAnsi="宋体" w:eastAsia="宋体" w:cs="宋体"/>
                <w:color w:val="000000"/>
                <w:sz w:val="21"/>
                <w:szCs w:val="21"/>
              </w:rPr>
              <w:t>已完成，具体见各部门审核记录</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2" w:type="dxa"/>
          </w:tcPr>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资源条件</w:t>
            </w:r>
          </w:p>
        </w:tc>
        <w:tc>
          <w:tcPr>
            <w:tcW w:w="869" w:type="dxa"/>
          </w:tcPr>
          <w:p>
            <w:pPr>
              <w:spacing w:line="288" w:lineRule="auto"/>
              <w:ind w:right="100"/>
              <w:rPr>
                <w:rFonts w:hint="eastAsia" w:asciiTheme="minorEastAsia" w:hAnsiTheme="minorEastAsia" w:eastAsiaTheme="minorEastAsia"/>
                <w:szCs w:val="21"/>
              </w:rPr>
            </w:pPr>
            <w:r>
              <w:rPr>
                <w:rFonts w:hint="eastAsia" w:asciiTheme="minorEastAsia" w:hAnsiTheme="minorEastAsia" w:eastAsiaTheme="minorEastAsia"/>
                <w:szCs w:val="21"/>
              </w:rPr>
              <w:t>Q</w:t>
            </w:r>
            <w:r>
              <w:rPr>
                <w:rFonts w:hint="eastAsia" w:asciiTheme="minorEastAsia" w:hAnsiTheme="minorEastAsia" w:eastAsiaTheme="minorEastAsia"/>
                <w:color w:val="auto"/>
                <w:u w:val="none"/>
              </w:rPr>
              <w:t>E</w:t>
            </w:r>
            <w:r>
              <w:rPr>
                <w:rFonts w:hint="eastAsia" w:asciiTheme="minorEastAsia" w:hAnsiTheme="minorEastAsia" w:eastAsiaTheme="minorEastAsia"/>
                <w:szCs w:val="21"/>
              </w:rPr>
              <w:t>O</w:t>
            </w:r>
          </w:p>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7.1</w:t>
            </w:r>
          </w:p>
        </w:tc>
        <w:tc>
          <w:tcPr>
            <w:tcW w:w="11490" w:type="dxa"/>
          </w:tcPr>
          <w:p>
            <w:r>
              <w:rPr>
                <w:rFonts w:hint="eastAsia" w:cs="宋体"/>
              </w:rPr>
              <w:t>公司为了实施管理体系并持续改进其有效性，增强顾客满意度，提供了各方面的资源保证。</w:t>
            </w:r>
          </w:p>
          <w:p>
            <w:r>
              <w:t xml:space="preserve">a. </w:t>
            </w:r>
            <w:r>
              <w:rPr>
                <w:rFonts w:hint="eastAsia" w:cs="宋体"/>
              </w:rPr>
              <w:t>人力资源：</w:t>
            </w:r>
            <w:r>
              <w:rPr>
                <w:rFonts w:hint="eastAsia" w:cs="宋体"/>
                <w:lang w:val="en-US" w:eastAsia="zh-CN"/>
              </w:rPr>
              <w:t>公司共有5人，</w:t>
            </w:r>
            <w:r>
              <w:rPr>
                <w:rFonts w:hint="eastAsia" w:cs="宋体"/>
              </w:rPr>
              <w:t>职工队伍相对稳定</w:t>
            </w:r>
            <w:r>
              <w:rPr>
                <w:rFonts w:hint="eastAsia" w:cs="宋体"/>
                <w:lang w:eastAsia="zh-CN"/>
              </w:rPr>
              <w:t>，</w:t>
            </w:r>
            <w:r>
              <w:rPr>
                <w:rFonts w:hint="eastAsia" w:cs="宋体"/>
              </w:rPr>
              <w:t>均有在相关企业工作</w:t>
            </w:r>
            <w:r>
              <w:rPr>
                <w:rFonts w:hint="eastAsia"/>
              </w:rPr>
              <w:t>的</w:t>
            </w:r>
            <w:r>
              <w:t>经历</w:t>
            </w:r>
            <w:r>
              <w:rPr>
                <w:rFonts w:hint="eastAsia" w:cs="宋体"/>
              </w:rPr>
              <w:t>，实践经验性对丰富；</w:t>
            </w:r>
          </w:p>
          <w:p>
            <w:pPr>
              <w:jc w:val="left"/>
              <w:rPr>
                <w:rFonts w:hint="eastAsia" w:ascii="宋体" w:hAnsi="宋体" w:cs="宋体"/>
                <w:color w:val="000000"/>
                <w:highlight w:val="white"/>
              </w:rPr>
            </w:pPr>
            <w:r>
              <w:t xml:space="preserve">b. </w:t>
            </w:r>
            <w:r>
              <w:rPr>
                <w:rFonts w:hint="eastAsia" w:cs="宋体"/>
              </w:rPr>
              <w:t>基础设施：</w:t>
            </w:r>
            <w:r>
              <w:rPr>
                <w:rFonts w:hint="eastAsia" w:ascii="宋体" w:hAnsi="宋体" w:cs="宋体"/>
                <w:color w:val="000000"/>
                <w:highlight w:val="white"/>
              </w:rPr>
              <w:t>办公、工作场所和相应的相关设施电话机、传真机、复印机、扫描仪、计算机、打印机</w:t>
            </w:r>
            <w:r>
              <w:rPr>
                <w:rFonts w:hint="eastAsia" w:ascii="宋体" w:hAnsi="宋体" w:cs="宋体"/>
                <w:color w:val="000000"/>
              </w:rPr>
              <w:t>;</w:t>
            </w:r>
          </w:p>
          <w:p>
            <w:pPr>
              <w:rPr>
                <w:rFonts w:hint="eastAsia" w:ascii="Times New Roman" w:hAnsi="Times New Roman" w:eastAsia="宋体" w:cs="宋体"/>
                <w:szCs w:val="22"/>
              </w:rPr>
            </w:pPr>
            <w:r>
              <w:t xml:space="preserve">c. </w:t>
            </w:r>
            <w:r>
              <w:rPr>
                <w:rFonts w:hint="eastAsia" w:cs="宋体"/>
              </w:rPr>
              <w:t>工作环境：</w:t>
            </w:r>
            <w:r>
              <w:rPr>
                <w:rFonts w:hint="eastAsia" w:ascii="宋体" w:hAnsi="宋体" w:cs="宋体"/>
                <w:color w:val="000000"/>
                <w:highlight w:val="white"/>
              </w:rPr>
              <w:t>公司为服务全过程提供符合要求的办公工作环境和销售工作环境，保证服务质量并预防环境污染和职工受伤害，</w:t>
            </w:r>
            <w:r>
              <w:rPr>
                <w:rFonts w:hint="eastAsia" w:ascii="宋体" w:hAnsi="宋体" w:cs="宋体"/>
                <w:color w:val="000000"/>
                <w:highlight w:val="white"/>
                <w:lang w:val="en-US" w:eastAsia="zh-CN"/>
              </w:rPr>
              <w:t>确</w:t>
            </w:r>
            <w:r>
              <w:rPr>
                <w:rFonts w:hint="eastAsia" w:ascii="宋体" w:hAnsi="宋体" w:cs="宋体"/>
                <w:color w:val="000000"/>
                <w:highlight w:val="white"/>
              </w:rPr>
              <w:t>保</w:t>
            </w:r>
            <w:r>
              <w:rPr>
                <w:rFonts w:hint="eastAsia" w:ascii="Times New Roman" w:hAnsi="Times New Roman" w:eastAsia="宋体" w:cs="宋体"/>
                <w:szCs w:val="22"/>
              </w:rPr>
              <w:t>工作环境符合要求。</w:t>
            </w:r>
          </w:p>
          <w:p>
            <w:pPr>
              <w:rPr>
                <w:rFonts w:hint="eastAsia" w:ascii="Times New Roman" w:hAnsi="Times New Roman" w:eastAsia="宋体" w:cs="宋体"/>
                <w:szCs w:val="22"/>
              </w:rPr>
            </w:pPr>
            <w:r>
              <w:rPr>
                <w:rFonts w:hint="eastAsia" w:ascii="Times New Roman" w:hAnsi="Times New Roman" w:eastAsia="宋体" w:cs="宋体"/>
                <w:szCs w:val="22"/>
              </w:rPr>
              <w:t xml:space="preserve">d. </w:t>
            </w:r>
            <w:r>
              <w:rPr>
                <w:rFonts w:hint="eastAsia" w:ascii="Times New Roman" w:hAnsi="Times New Roman" w:eastAsia="宋体" w:cs="宋体"/>
                <w:szCs w:val="22"/>
                <w:lang w:val="en-US" w:eastAsia="zh-CN"/>
              </w:rPr>
              <w:t>测量资源</w:t>
            </w:r>
            <w:r>
              <w:rPr>
                <w:rFonts w:hint="eastAsia" w:ascii="Times New Roman" w:hAnsi="Times New Roman" w:eastAsia="宋体" w:cs="宋体"/>
                <w:szCs w:val="22"/>
              </w:rPr>
              <w:t>：本公司是</w:t>
            </w:r>
            <w:r>
              <w:rPr>
                <w:rFonts w:hint="eastAsia" w:ascii="Times New Roman" w:hAnsi="Times New Roman" w:eastAsia="宋体" w:cs="宋体"/>
                <w:szCs w:val="22"/>
                <w:lang w:eastAsia="zh-CN"/>
              </w:rPr>
              <w:t>咨询</w:t>
            </w:r>
            <w:r>
              <w:rPr>
                <w:rFonts w:hint="eastAsia" w:ascii="Times New Roman" w:hAnsi="Times New Roman" w:eastAsia="宋体" w:cs="宋体"/>
                <w:szCs w:val="22"/>
              </w:rPr>
              <w:t>型企业，暂无监视和测量设备。</w:t>
            </w:r>
          </w:p>
          <w:p>
            <w:pPr>
              <w:spacing w:line="280" w:lineRule="exact"/>
              <w:rPr>
                <w:rFonts w:asciiTheme="minorEastAsia" w:hAnsiTheme="minorEastAsia" w:eastAsiaTheme="minorEastAsia"/>
                <w:szCs w:val="21"/>
              </w:rPr>
            </w:pPr>
            <w:r>
              <w:rPr>
                <w:rFonts w:hint="eastAsia"/>
              </w:rPr>
              <w:t>以上资源</w:t>
            </w:r>
            <w:r>
              <w:rPr>
                <w:rFonts w:hint="eastAsia" w:cs="宋体"/>
              </w:rPr>
              <w:t>能够满足企业的经营需要，符合QEO管理体系要求</w:t>
            </w:r>
            <w:r>
              <w:rPr>
                <w:rFonts w:hint="eastAsia"/>
              </w:rPr>
              <w:t>，能够持续满足顾客需求和管理体系改进的需要。</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622" w:type="dxa"/>
          </w:tcPr>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内审</w:t>
            </w:r>
          </w:p>
        </w:tc>
        <w:tc>
          <w:tcPr>
            <w:tcW w:w="869" w:type="dxa"/>
          </w:tcPr>
          <w:p>
            <w:pPr>
              <w:bidi w:val="0"/>
              <w:rPr>
                <w:rFonts w:asciiTheme="minorEastAsia" w:hAnsiTheme="minorEastAsia" w:eastAsiaTheme="minorEastAsia"/>
                <w:color w:val="auto"/>
                <w:u w:val="none"/>
              </w:rPr>
            </w:pPr>
            <w:r>
              <w:rPr>
                <w:rFonts w:hint="eastAsia" w:asciiTheme="minorEastAsia" w:hAnsiTheme="minorEastAsia" w:eastAsiaTheme="minorEastAsia"/>
                <w:szCs w:val="21"/>
              </w:rPr>
              <w:t>Q</w:t>
            </w:r>
            <w:r>
              <w:rPr>
                <w:rFonts w:hint="eastAsia" w:asciiTheme="minorEastAsia" w:hAnsiTheme="minorEastAsia" w:eastAsiaTheme="minorEastAsia"/>
                <w:color w:val="auto"/>
                <w:u w:val="none"/>
              </w:rPr>
              <w:t>E</w:t>
            </w:r>
            <w:r>
              <w:rPr>
                <w:rFonts w:hint="eastAsia" w:asciiTheme="minorEastAsia" w:hAnsiTheme="minorEastAsia" w:eastAsiaTheme="minorEastAsia"/>
                <w:szCs w:val="21"/>
              </w:rPr>
              <w:t>O</w:t>
            </w:r>
          </w:p>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9.2</w:t>
            </w:r>
          </w:p>
        </w:tc>
        <w:tc>
          <w:tcPr>
            <w:tcW w:w="11490" w:type="dxa"/>
          </w:tcPr>
          <w:p>
            <w:pPr>
              <w:spacing w:line="288" w:lineRule="auto"/>
              <w:ind w:right="100"/>
              <w:rPr>
                <w:rFonts w:hint="eastAsia" w:ascii="宋体" w:hAnsi="宋体" w:eastAsia="宋体" w:cs="宋体"/>
                <w:color w:val="000000"/>
                <w:szCs w:val="22"/>
                <w:highlight w:val="white"/>
                <w:lang w:val="en-US" w:eastAsia="zh-CN"/>
              </w:rPr>
            </w:pPr>
            <w:r>
              <w:rPr>
                <w:rFonts w:hint="eastAsia" w:ascii="宋体" w:hAnsi="宋体" w:eastAsia="宋体" w:cs="宋体"/>
                <w:color w:val="000000"/>
                <w:szCs w:val="22"/>
                <w:highlight w:val="white"/>
                <w:lang w:val="en-US" w:eastAsia="zh-CN"/>
              </w:rPr>
              <w:t>公司执行</w:t>
            </w:r>
            <w:r>
              <w:rPr>
                <w:rFonts w:hint="eastAsia" w:ascii="宋体" w:hAnsi="宋体" w:eastAsia="宋体" w:cs="宋体"/>
                <w:color w:val="000000"/>
                <w:szCs w:val="22"/>
                <w:highlight w:val="white"/>
              </w:rPr>
              <w:t>《内审控制程序》，</w:t>
            </w:r>
            <w:r>
              <w:rPr>
                <w:rFonts w:hint="eastAsia" w:ascii="宋体" w:hAnsi="宋体" w:eastAsia="宋体" w:cs="宋体"/>
                <w:color w:val="000000"/>
                <w:szCs w:val="22"/>
                <w:highlight w:val="white"/>
                <w:lang w:val="en-US" w:eastAsia="zh-CN"/>
              </w:rPr>
              <w:t>公司内部审核每年至少进行一次，审核要覆盖管理体系标准要求的所有内容、服务过程和部门，当发生特殊情况是，经总经理提议，管理者该表可另行安排内部审核。</w:t>
            </w:r>
          </w:p>
          <w:p>
            <w:pPr>
              <w:spacing w:line="288" w:lineRule="auto"/>
              <w:ind w:right="100"/>
              <w:rPr>
                <w:rFonts w:asciiTheme="minorEastAsia" w:hAnsiTheme="minorEastAsia" w:eastAsiaTheme="minorEastAsia"/>
                <w:szCs w:val="21"/>
              </w:rPr>
            </w:pPr>
            <w:r>
              <w:rPr>
                <w:rFonts w:hint="eastAsia" w:ascii="宋体" w:hAnsi="宋体" w:eastAsia="宋体" w:cs="宋体"/>
                <w:color w:val="000000"/>
                <w:szCs w:val="22"/>
                <w:highlight w:val="white"/>
              </w:rPr>
              <w:t>今年内审于2020年</w:t>
            </w:r>
            <w:r>
              <w:rPr>
                <w:rFonts w:hint="eastAsia" w:ascii="宋体" w:hAnsi="宋体" w:eastAsia="宋体" w:cs="宋体"/>
                <w:color w:val="000000"/>
                <w:szCs w:val="22"/>
                <w:highlight w:val="white"/>
                <w:lang w:val="en-US" w:eastAsia="zh-CN"/>
              </w:rPr>
              <w:t>12</w:t>
            </w:r>
            <w:r>
              <w:rPr>
                <w:rFonts w:hint="eastAsia" w:ascii="宋体" w:hAnsi="宋体" w:eastAsia="宋体" w:cs="宋体"/>
                <w:color w:val="000000"/>
                <w:szCs w:val="22"/>
                <w:highlight w:val="white"/>
              </w:rPr>
              <w:t>月</w:t>
            </w:r>
            <w:r>
              <w:rPr>
                <w:rFonts w:hint="eastAsia" w:ascii="宋体" w:hAnsi="宋体" w:eastAsia="宋体" w:cs="宋体"/>
                <w:color w:val="000000"/>
                <w:szCs w:val="22"/>
                <w:highlight w:val="white"/>
                <w:lang w:val="en-US" w:eastAsia="zh-CN"/>
              </w:rPr>
              <w:t>16</w:t>
            </w:r>
            <w:r>
              <w:rPr>
                <w:rFonts w:hint="eastAsia" w:ascii="宋体" w:hAnsi="宋体" w:eastAsia="宋体" w:cs="宋体"/>
                <w:color w:val="000000"/>
                <w:szCs w:val="22"/>
                <w:highlight w:val="white"/>
              </w:rPr>
              <w:t>日进行，有内部审核计划表、内部审核报告、不合格报告等</w:t>
            </w:r>
            <w:r>
              <w:rPr>
                <w:rFonts w:hint="eastAsia" w:ascii="宋体" w:hAnsi="宋体" w:eastAsia="宋体" w:cs="宋体"/>
                <w:color w:val="000000"/>
                <w:szCs w:val="22"/>
                <w:highlight w:val="white"/>
                <w:lang w:eastAsia="zh-CN"/>
              </w:rPr>
              <w:t>；</w:t>
            </w:r>
            <w:r>
              <w:rPr>
                <w:rFonts w:hint="eastAsia" w:ascii="宋体" w:hAnsi="宋体" w:eastAsia="宋体" w:cs="宋体"/>
                <w:color w:val="000000"/>
                <w:szCs w:val="22"/>
                <w:highlight w:val="white"/>
              </w:rPr>
              <w:t>结论：公司依据</w:t>
            </w:r>
            <w:r>
              <w:rPr>
                <w:rFonts w:hint="eastAsia" w:ascii="宋体" w:hAnsi="宋体" w:eastAsia="宋体" w:cs="宋体"/>
                <w:color w:val="000000"/>
                <w:szCs w:val="22"/>
                <w:highlight w:val="white"/>
                <w:lang w:eastAsia="zh-CN"/>
              </w:rPr>
              <w:t>GB/T19001-2016</w:t>
            </w:r>
            <w:r>
              <w:rPr>
                <w:rFonts w:hint="eastAsia" w:ascii="宋体" w:hAnsi="宋体" w:eastAsia="宋体" w:cs="宋体"/>
                <w:color w:val="000000"/>
                <w:szCs w:val="22"/>
                <w:highlight w:val="white"/>
              </w:rPr>
              <w:t>、</w:t>
            </w:r>
            <w:r>
              <w:rPr>
                <w:rFonts w:hint="eastAsia" w:ascii="宋体" w:hAnsi="宋体" w:eastAsia="宋体" w:cs="宋体"/>
                <w:color w:val="000000"/>
                <w:szCs w:val="22"/>
                <w:highlight w:val="white"/>
                <w:lang w:eastAsia="zh-CN"/>
              </w:rPr>
              <w:t>GB/T 24001-2016</w:t>
            </w:r>
            <w:r>
              <w:rPr>
                <w:rFonts w:hint="eastAsia" w:ascii="宋体" w:hAnsi="宋体" w:eastAsia="宋体" w:cs="宋体"/>
                <w:color w:val="000000"/>
                <w:szCs w:val="22"/>
                <w:highlight w:val="white"/>
              </w:rPr>
              <w:t>和</w:t>
            </w:r>
            <w:r>
              <w:rPr>
                <w:rFonts w:hint="eastAsia" w:ascii="宋体" w:hAnsi="宋体" w:eastAsia="宋体" w:cs="宋体"/>
                <w:color w:val="000000"/>
                <w:szCs w:val="22"/>
                <w:highlight w:val="white"/>
                <w:lang w:eastAsia="zh-CN"/>
              </w:rPr>
              <w:t>GB/T45001-2020</w:t>
            </w:r>
            <w:r>
              <w:rPr>
                <w:rFonts w:hint="eastAsia" w:ascii="宋体" w:hAnsi="宋体" w:eastAsia="宋体" w:cs="宋体"/>
                <w:color w:val="000000"/>
                <w:szCs w:val="22"/>
                <w:highlight w:val="white"/>
              </w:rPr>
              <w:t>标准建立的质量、环境和职业健康安全管理体系基本符合标准要求及本公司质量、环境、职业健康安全管理体系的要求，运行基本有效并保持。</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622" w:type="dxa"/>
          </w:tcPr>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管理评审</w:t>
            </w:r>
          </w:p>
        </w:tc>
        <w:tc>
          <w:tcPr>
            <w:tcW w:w="869" w:type="dxa"/>
          </w:tcPr>
          <w:p>
            <w:pPr>
              <w:spacing w:line="288" w:lineRule="auto"/>
              <w:ind w:right="100"/>
              <w:rPr>
                <w:rFonts w:hint="eastAsia" w:asciiTheme="minorEastAsia" w:hAnsiTheme="minorEastAsia" w:eastAsiaTheme="minorEastAsia"/>
                <w:szCs w:val="21"/>
              </w:rPr>
            </w:pPr>
            <w:r>
              <w:rPr>
                <w:rFonts w:hint="eastAsia" w:asciiTheme="minorEastAsia" w:hAnsiTheme="minorEastAsia" w:eastAsiaTheme="minorEastAsia"/>
                <w:szCs w:val="21"/>
              </w:rPr>
              <w:t>Q</w:t>
            </w:r>
            <w:r>
              <w:rPr>
                <w:rFonts w:hint="eastAsia" w:asciiTheme="minorEastAsia" w:hAnsiTheme="minorEastAsia" w:eastAsiaTheme="minorEastAsia"/>
                <w:color w:val="auto"/>
                <w:u w:val="none"/>
              </w:rPr>
              <w:t>E</w:t>
            </w:r>
            <w:r>
              <w:rPr>
                <w:rFonts w:hint="eastAsia" w:asciiTheme="minorEastAsia" w:hAnsiTheme="minorEastAsia" w:eastAsiaTheme="minorEastAsia"/>
                <w:szCs w:val="21"/>
              </w:rPr>
              <w:t>O</w:t>
            </w:r>
          </w:p>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9.3</w:t>
            </w:r>
          </w:p>
        </w:tc>
        <w:tc>
          <w:tcPr>
            <w:tcW w:w="11490" w:type="dxa"/>
          </w:tcPr>
          <w:p>
            <w:pPr>
              <w:spacing w:line="288" w:lineRule="auto"/>
              <w:ind w:right="100"/>
              <w:rPr>
                <w:rFonts w:hint="eastAsia" w:ascii="宋体" w:hAnsi="宋体" w:eastAsia="宋体" w:cs="宋体"/>
                <w:color w:val="000000"/>
                <w:szCs w:val="22"/>
                <w:highlight w:val="white"/>
                <w:lang w:val="en-US" w:eastAsia="zh-CN"/>
              </w:rPr>
            </w:pPr>
            <w:r>
              <w:rPr>
                <w:rFonts w:hint="eastAsia" w:ascii="宋体" w:hAnsi="宋体" w:eastAsia="宋体" w:cs="宋体"/>
                <w:color w:val="000000"/>
                <w:szCs w:val="22"/>
                <w:highlight w:val="white"/>
                <w:lang w:val="en-US" w:eastAsia="zh-CN"/>
              </w:rPr>
              <w:t>公司执行《管理评审控制程序》，在管理体系正常运行后，按计划间隔的时间每年至少进行一次管理评审，总经理根据有关情况可决定实施追加管理评审。</w:t>
            </w:r>
          </w:p>
          <w:p>
            <w:pPr>
              <w:spacing w:line="288" w:lineRule="auto"/>
              <w:ind w:right="100"/>
              <w:rPr>
                <w:rFonts w:asciiTheme="minorEastAsia" w:hAnsiTheme="minorEastAsia" w:eastAsiaTheme="minorEastAsia"/>
                <w:szCs w:val="21"/>
              </w:rPr>
            </w:pPr>
            <w:r>
              <w:rPr>
                <w:rFonts w:hint="eastAsia" w:ascii="宋体" w:hAnsi="宋体" w:eastAsia="宋体" w:cs="宋体"/>
                <w:color w:val="000000"/>
                <w:szCs w:val="22"/>
                <w:highlight w:val="white"/>
                <w:lang w:val="en-US" w:eastAsia="zh-CN"/>
              </w:rPr>
              <w:t>今年管理评审于2020年12月30进行，有管理评审计划、管理评审会议纪要、管理体系运行情况报告、各部门工作报告、改进措施、管理评审报告等。结论：公司各项活动均能按国家、行业、地方、标准规范和其他要求运行，无违反规定的情况发生。公司的质量、环境和职业健康安全管理体系的运行是适宜、充分和有效的，方针和目标是适宜的，应对风险和机遇采取的措施基本有效。质量、环境和职业健康安全管理体系运行基本符合标准要求。</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622" w:type="dxa"/>
            <w:vAlign w:val="top"/>
          </w:tcPr>
          <w:p>
            <w:pPr>
              <w:spacing w:line="360" w:lineRule="exact"/>
              <w:ind w:firstLine="210" w:firstLineChars="100"/>
              <w:rPr>
                <w:rFonts w:hint="eastAsia" w:ascii="宋体" w:hAnsi="宋体" w:eastAsia="宋体" w:cs="宋体"/>
                <w:kern w:val="2"/>
                <w:sz w:val="21"/>
                <w:szCs w:val="21"/>
                <w:lang w:val="en-US" w:eastAsia="zh-CN" w:bidi="ar-SA"/>
              </w:rPr>
            </w:pPr>
            <w:r>
              <w:rPr>
                <w:rFonts w:hint="eastAsia" w:ascii="宋体" w:hAnsi="宋体" w:cs="宋体"/>
                <w:szCs w:val="21"/>
              </w:rPr>
              <w:t>资质查验；体系覆盖人数确认；质量环境安全事故及投诉情况；</w:t>
            </w:r>
          </w:p>
        </w:tc>
        <w:tc>
          <w:tcPr>
            <w:tcW w:w="869" w:type="dxa"/>
            <w:vAlign w:val="top"/>
          </w:tcPr>
          <w:p>
            <w:pPr>
              <w:spacing w:line="360" w:lineRule="exact"/>
              <w:ind w:firstLine="210" w:firstLineChars="100"/>
              <w:rPr>
                <w:rFonts w:hint="eastAsia" w:ascii="宋体" w:hAnsi="宋体" w:eastAsia="宋体" w:cs="宋体"/>
                <w:kern w:val="2"/>
                <w:sz w:val="21"/>
                <w:szCs w:val="21"/>
                <w:lang w:val="en-US" w:eastAsia="zh-CN" w:bidi="ar-SA"/>
              </w:rPr>
            </w:pPr>
          </w:p>
        </w:tc>
        <w:tc>
          <w:tcPr>
            <w:tcW w:w="11490" w:type="dxa"/>
            <w:vAlign w:val="top"/>
          </w:tcPr>
          <w:p>
            <w:pPr>
              <w:spacing w:line="360" w:lineRule="exact"/>
              <w:ind w:firstLine="210" w:firstLineChars="100"/>
              <w:rPr>
                <w:rFonts w:hint="eastAsia" w:ascii="宋体" w:hAnsi="宋体" w:cs="宋体"/>
                <w:szCs w:val="21"/>
              </w:rPr>
            </w:pPr>
            <w:r>
              <w:rPr>
                <w:rFonts w:hint="eastAsia" w:ascii="宋体" w:hAnsi="宋体" w:cs="宋体"/>
                <w:szCs w:val="21"/>
              </w:rPr>
              <w:t>提供营业执照</w:t>
            </w:r>
            <w:r>
              <w:rPr>
                <w:rFonts w:hint="eastAsia" w:ascii="宋体" w:hAnsi="宋体" w:cs="宋体"/>
                <w:szCs w:val="21"/>
                <w:lang w:val="en-US" w:eastAsia="zh-CN"/>
              </w:rPr>
              <w:t>扫描件，符合要求</w:t>
            </w:r>
            <w:r>
              <w:rPr>
                <w:rFonts w:hint="eastAsia" w:ascii="宋体" w:hAnsi="宋体" w:cs="宋体"/>
                <w:szCs w:val="21"/>
              </w:rPr>
              <w:t>。</w:t>
            </w:r>
          </w:p>
          <w:p>
            <w:pPr>
              <w:spacing w:line="360" w:lineRule="exact"/>
              <w:ind w:firstLine="210" w:firstLineChars="100"/>
              <w:rPr>
                <w:rFonts w:hint="eastAsia" w:ascii="宋体" w:hAnsi="宋体" w:cs="宋体"/>
                <w:szCs w:val="21"/>
              </w:rPr>
            </w:pPr>
          </w:p>
          <w:p>
            <w:pPr>
              <w:spacing w:line="360" w:lineRule="exact"/>
              <w:ind w:firstLine="210" w:firstLineChars="100"/>
              <w:rPr>
                <w:rFonts w:hint="default" w:ascii="宋体" w:hAnsi="宋体" w:eastAsia="宋体" w:cs="宋体"/>
                <w:szCs w:val="21"/>
                <w:lang w:val="en-US" w:eastAsia="zh-CN"/>
              </w:rPr>
            </w:pPr>
            <w:r>
              <w:rPr>
                <w:rFonts w:hint="eastAsia" w:ascii="宋体" w:hAnsi="宋体" w:cs="宋体"/>
                <w:szCs w:val="21"/>
              </w:rPr>
              <w:t>经询查：公司</w:t>
            </w:r>
            <w:r>
              <w:rPr>
                <w:rFonts w:hint="eastAsia" w:ascii="宋体" w:hAnsi="宋体" w:cs="宋体"/>
                <w:szCs w:val="21"/>
                <w:lang w:val="en-US" w:eastAsia="zh-CN"/>
              </w:rPr>
              <w:t>的</w:t>
            </w:r>
            <w:r>
              <w:rPr>
                <w:rFonts w:hint="eastAsia" w:ascii="宋体" w:hAnsi="宋体" w:cs="宋体"/>
                <w:szCs w:val="21"/>
              </w:rPr>
              <w:t>外包过程</w:t>
            </w:r>
            <w:r>
              <w:rPr>
                <w:rFonts w:hint="eastAsia" w:ascii="宋体" w:hAnsi="宋体" w:cs="宋体"/>
                <w:szCs w:val="21"/>
                <w:lang w:val="en-US" w:eastAsia="zh-CN"/>
              </w:rPr>
              <w:t>为报告发送</w:t>
            </w:r>
          </w:p>
          <w:p>
            <w:pPr>
              <w:spacing w:line="360" w:lineRule="exact"/>
              <w:ind w:firstLine="210" w:firstLineChars="100"/>
              <w:rPr>
                <w:rFonts w:hint="eastAsia" w:ascii="宋体" w:hAnsi="宋体" w:cs="宋体"/>
                <w:szCs w:val="21"/>
              </w:rPr>
            </w:pPr>
            <w:r>
              <w:rPr>
                <w:rFonts w:hint="eastAsia" w:ascii="宋体" w:hAnsi="宋体" w:cs="宋体"/>
                <w:szCs w:val="21"/>
              </w:rPr>
              <w:t>认证范围适用、理由充分性；</w:t>
            </w:r>
          </w:p>
          <w:p>
            <w:pPr>
              <w:spacing w:line="360" w:lineRule="exact"/>
              <w:ind w:firstLine="210" w:firstLineChars="100"/>
              <w:rPr>
                <w:rFonts w:hint="eastAsia" w:ascii="宋体" w:hAnsi="宋体" w:cs="宋体"/>
                <w:szCs w:val="21"/>
              </w:rPr>
            </w:pPr>
            <w:r>
              <w:rPr>
                <w:rFonts w:hint="eastAsia" w:ascii="宋体" w:hAnsi="宋体" w:cs="宋体"/>
                <w:szCs w:val="21"/>
              </w:rPr>
              <w:t>体系覆盖人数确认；</w:t>
            </w:r>
            <w:r>
              <w:rPr>
                <w:rFonts w:ascii="宋体" w:hAnsi="宋体" w:cs="宋体"/>
                <w:szCs w:val="21"/>
              </w:rPr>
              <w:t>5</w:t>
            </w:r>
            <w:r>
              <w:rPr>
                <w:rFonts w:hint="eastAsia" w:ascii="宋体" w:hAnsi="宋体" w:cs="宋体"/>
                <w:szCs w:val="21"/>
              </w:rPr>
              <w:t>人</w:t>
            </w:r>
          </w:p>
          <w:p>
            <w:pPr>
              <w:spacing w:line="360" w:lineRule="exact"/>
              <w:ind w:firstLine="210" w:firstLineChars="100"/>
              <w:rPr>
                <w:rFonts w:hint="eastAsia" w:ascii="宋体" w:hAnsi="宋体" w:eastAsia="宋体" w:cs="宋体"/>
                <w:kern w:val="2"/>
                <w:sz w:val="21"/>
                <w:szCs w:val="21"/>
                <w:lang w:val="en-US" w:eastAsia="zh-CN" w:bidi="ar-SA"/>
              </w:rPr>
            </w:pPr>
            <w:r>
              <w:rPr>
                <w:rFonts w:hint="eastAsia" w:ascii="宋体" w:hAnsi="宋体" w:cs="宋体"/>
                <w:szCs w:val="21"/>
              </w:rPr>
              <w:t>经询查，公司没有质量环境安全事故及投诉情况；</w:t>
            </w:r>
          </w:p>
        </w:tc>
        <w:tc>
          <w:tcPr>
            <w:tcW w:w="709" w:type="dxa"/>
          </w:tcPr>
          <w:p>
            <w:pPr>
              <w:rPr>
                <w:szCs w:val="21"/>
              </w:rPr>
            </w:pPr>
          </w:p>
        </w:tc>
      </w:tr>
    </w:tbl>
    <w:p>
      <w:pPr>
        <w:pStyle w:val="12"/>
        <w:ind w:left="0" w:leftChars="0" w:firstLine="0" w:firstLineChars="0"/>
        <w:rPr>
          <w:rFonts w:ascii="楷体" w:hAnsi="楷体" w:eastAsia="楷体"/>
          <w:szCs w:val="21"/>
        </w:rPr>
      </w:pPr>
    </w:p>
    <w:p>
      <w:pPr>
        <w:pStyle w:val="12"/>
        <w:ind w:left="0" w:leftChars="0" w:firstLine="0" w:firstLineChars="0"/>
        <w:rPr>
          <w:rFonts w:ascii="楷体" w:hAnsi="楷体" w:eastAsia="楷体"/>
          <w:szCs w:val="21"/>
        </w:rPr>
      </w:pPr>
    </w:p>
    <w:p>
      <w:pPr>
        <w:pStyle w:val="12"/>
        <w:ind w:left="0" w:leftChars="0" w:firstLine="0" w:firstLineChars="0"/>
        <w:rPr>
          <w:rFonts w:ascii="楷体" w:hAnsi="楷体" w:eastAsia="楷体"/>
          <w:szCs w:val="21"/>
        </w:rPr>
      </w:pPr>
    </w:p>
    <w:p>
      <w:pPr>
        <w:pStyle w:val="12"/>
        <w:ind w:left="0" w:leftChars="0" w:firstLine="0" w:firstLineChars="0"/>
        <w:rPr>
          <w:rFonts w:ascii="楷体" w:hAnsi="楷体" w:eastAsia="楷体"/>
          <w:szCs w:val="21"/>
        </w:rPr>
      </w:pPr>
    </w:p>
    <w:p>
      <w:pPr>
        <w:pStyle w:val="12"/>
        <w:ind w:left="0" w:leftChars="0" w:firstLine="0" w:firstLineChars="0"/>
        <w:rPr>
          <w:rFonts w:ascii="楷体" w:hAnsi="楷体" w:eastAsia="楷体"/>
          <w:szCs w:val="21"/>
        </w:rPr>
      </w:pPr>
    </w:p>
    <w:p>
      <w:pPr>
        <w:pStyle w:val="12"/>
        <w:ind w:left="0" w:leftChars="0" w:firstLine="0" w:firstLineChars="0"/>
        <w:rPr>
          <w:rFonts w:ascii="楷体" w:hAnsi="楷体" w:eastAsia="楷体"/>
          <w:szCs w:val="21"/>
        </w:rPr>
      </w:pPr>
    </w:p>
    <w:p>
      <w:pPr>
        <w:pStyle w:val="12"/>
        <w:ind w:left="0" w:leftChars="0" w:firstLine="0" w:firstLineChars="0"/>
        <w:rPr>
          <w:rFonts w:ascii="楷体" w:hAnsi="楷体" w:eastAsia="楷体"/>
          <w:szCs w:val="21"/>
        </w:rPr>
      </w:pPr>
    </w:p>
    <w:p>
      <w:pPr>
        <w:pStyle w:val="12"/>
        <w:ind w:left="0" w:leftChars="0" w:firstLine="0" w:firstLineChars="0"/>
        <w:rPr>
          <w:rFonts w:ascii="楷体" w:hAnsi="楷体" w:eastAsia="楷体"/>
          <w:szCs w:val="21"/>
        </w:rPr>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2"/>
        <w:gridCol w:w="1138"/>
        <w:gridCol w:w="10766"/>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82" w:type="dxa"/>
            <w:vMerge w:val="restart"/>
            <w:noWrap w:val="0"/>
            <w:vAlign w:val="center"/>
          </w:tcPr>
          <w:p>
            <w:pPr>
              <w:spacing w:line="360" w:lineRule="auto"/>
              <w:ind w:firstLine="240" w:firstLineChars="100"/>
              <w:rPr>
                <w:rFonts w:hint="eastAsia" w:ascii="华文中宋" w:hAnsi="华文中宋" w:eastAsia="华文中宋"/>
                <w:color w:val="000000"/>
                <w:sz w:val="24"/>
                <w:szCs w:val="24"/>
              </w:rPr>
            </w:pPr>
            <w:r>
              <w:rPr>
                <w:rFonts w:hint="eastAsia" w:ascii="华文中宋" w:hAnsi="华文中宋" w:eastAsia="华文中宋"/>
                <w:color w:val="000000"/>
                <w:sz w:val="24"/>
                <w:szCs w:val="24"/>
              </w:rPr>
              <w:t>过程与活动、</w:t>
            </w:r>
          </w:p>
          <w:p>
            <w:pPr>
              <w:spacing w:line="360" w:lineRule="auto"/>
              <w:ind w:firstLine="240" w:firstLineChars="100"/>
              <w:rPr>
                <w:rFonts w:hint="eastAsia" w:ascii="华文中宋" w:hAnsi="华文中宋" w:eastAsia="华文中宋"/>
                <w:color w:val="000000"/>
                <w:sz w:val="24"/>
                <w:szCs w:val="24"/>
              </w:rPr>
            </w:pPr>
            <w:r>
              <w:rPr>
                <w:rFonts w:hint="eastAsia" w:ascii="华文中宋" w:hAnsi="华文中宋" w:eastAsia="华文中宋"/>
                <w:color w:val="000000"/>
                <w:sz w:val="24"/>
                <w:szCs w:val="24"/>
              </w:rPr>
              <w:t>抽样计划</w:t>
            </w:r>
          </w:p>
        </w:tc>
        <w:tc>
          <w:tcPr>
            <w:tcW w:w="1138"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766" w:type="dxa"/>
            <w:noWrap w:val="0"/>
            <w:vAlign w:val="center"/>
          </w:tcPr>
          <w:p>
            <w:pPr>
              <w:rPr>
                <w:sz w:val="24"/>
                <w:szCs w:val="24"/>
              </w:rPr>
            </w:pPr>
            <w:r>
              <w:rPr>
                <w:rFonts w:hint="eastAsia"/>
                <w:sz w:val="24"/>
                <w:szCs w:val="24"/>
              </w:rPr>
              <w:t>受审核部门：办公室             主管领导：</w:t>
            </w:r>
            <w:r>
              <w:rPr>
                <w:rFonts w:hint="eastAsia"/>
                <w:bCs/>
                <w:sz w:val="24"/>
                <w:szCs w:val="24"/>
              </w:rPr>
              <w:t>刘娟娟</w:t>
            </w:r>
            <w:r>
              <w:rPr>
                <w:rFonts w:hint="eastAsia"/>
                <w:sz w:val="24"/>
                <w:szCs w:val="24"/>
              </w:rPr>
              <w:t xml:space="preserve">           </w:t>
            </w:r>
          </w:p>
        </w:tc>
        <w:tc>
          <w:tcPr>
            <w:tcW w:w="823"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82" w:type="dxa"/>
            <w:vMerge w:val="continue"/>
            <w:noWrap w:val="0"/>
            <w:vAlign w:val="center"/>
          </w:tcPr>
          <w:p/>
        </w:tc>
        <w:tc>
          <w:tcPr>
            <w:tcW w:w="1138" w:type="dxa"/>
            <w:vMerge w:val="continue"/>
            <w:noWrap w:val="0"/>
            <w:vAlign w:val="center"/>
          </w:tcPr>
          <w:p/>
        </w:tc>
        <w:tc>
          <w:tcPr>
            <w:tcW w:w="10766" w:type="dxa"/>
            <w:noWrap w:val="0"/>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吉洁</w:t>
            </w:r>
            <w:r>
              <w:rPr>
                <w:rFonts w:hint="eastAsia"/>
                <w:sz w:val="24"/>
                <w:szCs w:val="24"/>
              </w:rPr>
              <w:t xml:space="preserve">                     审核时间：20</w:t>
            </w:r>
            <w:r>
              <w:rPr>
                <w:sz w:val="24"/>
                <w:szCs w:val="24"/>
              </w:rPr>
              <w:t>21.</w:t>
            </w:r>
            <w:r>
              <w:rPr>
                <w:rFonts w:hint="eastAsia"/>
                <w:sz w:val="24"/>
                <w:szCs w:val="24"/>
                <w:lang w:val="en-US" w:eastAsia="zh-CN"/>
              </w:rPr>
              <w:t>2.3</w:t>
            </w:r>
          </w:p>
        </w:tc>
        <w:tc>
          <w:tcPr>
            <w:tcW w:w="823"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82" w:type="dxa"/>
            <w:vMerge w:val="continue"/>
            <w:noWrap w:val="0"/>
            <w:vAlign w:val="center"/>
          </w:tcPr>
          <w:p/>
        </w:tc>
        <w:tc>
          <w:tcPr>
            <w:tcW w:w="1138" w:type="dxa"/>
            <w:vMerge w:val="continue"/>
            <w:noWrap w:val="0"/>
            <w:vAlign w:val="center"/>
          </w:tcPr>
          <w:p/>
        </w:tc>
        <w:tc>
          <w:tcPr>
            <w:tcW w:w="10766" w:type="dxa"/>
            <w:noWrap w:val="0"/>
            <w:vAlign w:val="center"/>
          </w:tcPr>
          <w:p>
            <w:pPr>
              <w:adjustRightInd w:val="0"/>
              <w:snapToGrid w:val="0"/>
              <w:spacing w:line="360" w:lineRule="auto"/>
              <w:jc w:val="both"/>
              <w:rPr>
                <w:rFonts w:hint="eastAsia" w:ascii="华文中宋" w:hAnsi="华文中宋" w:eastAsia="华文中宋"/>
                <w:color w:val="000000"/>
                <w:sz w:val="24"/>
                <w:szCs w:val="24"/>
              </w:rPr>
            </w:pPr>
            <w:r>
              <w:rPr>
                <w:rFonts w:hint="eastAsia" w:ascii="华文中宋" w:hAnsi="华文中宋" w:eastAsia="华文中宋"/>
                <w:color w:val="000000"/>
                <w:sz w:val="24"/>
                <w:szCs w:val="24"/>
              </w:rPr>
              <w:t>审核条款：</w:t>
            </w:r>
            <w:r>
              <w:rPr>
                <w:rFonts w:hint="eastAsia"/>
                <w:sz w:val="21"/>
                <w:szCs w:val="21"/>
              </w:rPr>
              <w:t>Q7.1.3/7.1.4/7.1.5/7.1.6</w:t>
            </w:r>
            <w:r>
              <w:rPr>
                <w:rFonts w:hint="eastAsia"/>
                <w:sz w:val="21"/>
                <w:szCs w:val="21"/>
                <w:lang w:val="en-US" w:eastAsia="zh-CN"/>
              </w:rPr>
              <w:t>/</w:t>
            </w:r>
            <w:r>
              <w:rPr>
                <w:rFonts w:hint="eastAsia"/>
                <w:sz w:val="21"/>
                <w:szCs w:val="21"/>
              </w:rPr>
              <w:t>7.5</w:t>
            </w:r>
            <w:r>
              <w:rPr>
                <w:rFonts w:hint="eastAsia"/>
                <w:sz w:val="21"/>
                <w:szCs w:val="21"/>
                <w:lang w:val="en-US" w:eastAsia="zh-CN"/>
              </w:rPr>
              <w:t>/</w:t>
            </w:r>
            <w:r>
              <w:rPr>
                <w:rFonts w:hint="eastAsia"/>
                <w:sz w:val="21"/>
                <w:szCs w:val="21"/>
              </w:rPr>
              <w:t>8.1/8.5.1</w:t>
            </w:r>
            <w:r>
              <w:rPr>
                <w:rFonts w:hint="eastAsia"/>
                <w:sz w:val="21"/>
                <w:szCs w:val="21"/>
                <w:lang w:eastAsia="zh-CN"/>
              </w:rPr>
              <w:t>；</w:t>
            </w:r>
            <w:r>
              <w:rPr>
                <w:rFonts w:hint="eastAsia"/>
                <w:sz w:val="21"/>
                <w:szCs w:val="21"/>
                <w:lang w:val="en-US" w:eastAsia="zh-CN"/>
              </w:rPr>
              <w:t>EO6.1.2/6.1.3/6.2</w:t>
            </w:r>
            <w:r>
              <w:rPr>
                <w:rFonts w:hint="eastAsia"/>
                <w:sz w:val="21"/>
                <w:szCs w:val="21"/>
              </w:rPr>
              <w:t>/</w:t>
            </w:r>
            <w:r>
              <w:rPr>
                <w:rFonts w:hint="eastAsia"/>
                <w:sz w:val="21"/>
                <w:szCs w:val="21"/>
                <w:lang w:val="en-US" w:eastAsia="zh-CN"/>
              </w:rPr>
              <w:t>7.5/</w:t>
            </w:r>
            <w:r>
              <w:rPr>
                <w:rFonts w:hint="eastAsia"/>
                <w:sz w:val="21"/>
                <w:szCs w:val="21"/>
              </w:rPr>
              <w:t>8.2</w:t>
            </w:r>
          </w:p>
        </w:tc>
        <w:tc>
          <w:tcPr>
            <w:tcW w:w="823"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82" w:type="dxa"/>
            <w:noWrap w:val="0"/>
            <w:vAlign w:val="top"/>
          </w:tcPr>
          <w:p>
            <w:pPr>
              <w:rPr>
                <w:rFonts w:hint="eastAsia" w:ascii="Times New Roman" w:hAnsi="Times New Roman" w:eastAsia="宋体" w:cs="Times New Roman"/>
                <w:kern w:val="2"/>
                <w:sz w:val="21"/>
                <w:lang w:val="en-US" w:eastAsia="zh-CN" w:bidi="ar-SA"/>
              </w:rPr>
            </w:pPr>
            <w:r>
              <w:rPr>
                <w:rFonts w:hint="eastAsia"/>
              </w:rPr>
              <w:t>基础设施</w:t>
            </w:r>
          </w:p>
        </w:tc>
        <w:tc>
          <w:tcPr>
            <w:tcW w:w="1138" w:type="dxa"/>
            <w:noWrap w:val="0"/>
            <w:vAlign w:val="top"/>
          </w:tcPr>
          <w:p>
            <w:pPr>
              <w:ind w:firstLine="210" w:firstLineChars="100"/>
              <w:jc w:val="left"/>
              <w:rPr>
                <w:rFonts w:hint="eastAsia"/>
                <w:lang w:val="en-US" w:eastAsia="zh-CN"/>
              </w:rPr>
            </w:pPr>
            <w:r>
              <w:rPr>
                <w:rFonts w:hint="eastAsia"/>
                <w:lang w:val="en-US" w:eastAsia="zh-CN"/>
              </w:rPr>
              <w:t>Q</w:t>
            </w:r>
          </w:p>
          <w:p>
            <w:pPr>
              <w:ind w:firstLine="210" w:firstLineChars="100"/>
              <w:jc w:val="left"/>
              <w:rPr>
                <w:rFonts w:hint="default" w:ascii="Times New Roman" w:hAnsi="Times New Roman" w:eastAsia="宋体" w:cs="Times New Roman"/>
                <w:kern w:val="2"/>
                <w:sz w:val="21"/>
                <w:lang w:val="en-US" w:eastAsia="zh-CN" w:bidi="ar-SA"/>
              </w:rPr>
            </w:pPr>
            <w:r>
              <w:rPr>
                <w:rFonts w:hint="eastAsia"/>
                <w:lang w:val="en-US" w:eastAsia="zh-CN"/>
              </w:rPr>
              <w:t>7.1.3</w:t>
            </w:r>
          </w:p>
        </w:tc>
        <w:tc>
          <w:tcPr>
            <w:tcW w:w="10766" w:type="dxa"/>
            <w:noWrap w:val="0"/>
            <w:vAlign w:val="top"/>
          </w:tcPr>
          <w:p>
            <w:pPr>
              <w:rPr>
                <w:rFonts w:hint="eastAsia" w:ascii="Times New Roman" w:hAnsi="Times New Roman" w:eastAsia="宋体" w:cs="Times New Roman"/>
                <w:kern w:val="2"/>
                <w:sz w:val="21"/>
                <w:u w:val="none"/>
                <w:lang w:val="en-US" w:eastAsia="zh-CN" w:bidi="ar-SA"/>
              </w:rPr>
            </w:pPr>
            <w:r>
              <w:rPr>
                <w:rFonts w:hint="eastAsia"/>
                <w:u w:val="none"/>
                <w:lang w:val="en-US" w:eastAsia="zh-CN"/>
              </w:rPr>
              <w:t>提供</w:t>
            </w:r>
            <w:r>
              <w:rPr>
                <w:rFonts w:hint="eastAsia" w:ascii="宋体" w:hAnsi="宋体" w:cs="Times New Roman"/>
                <w:color w:val="000000"/>
                <w:sz w:val="20"/>
                <w:szCs w:val="20"/>
                <w:lang w:val="en-US" w:eastAsia="zh-CN"/>
              </w:rPr>
              <w:t>了设备清单，包括：</w:t>
            </w:r>
            <w:r>
              <w:rPr>
                <w:rFonts w:hint="eastAsia" w:ascii="宋体" w:hAnsi="宋体" w:cs="宋体"/>
                <w:color w:val="000000"/>
                <w:highlight w:val="white"/>
              </w:rPr>
              <w:t>电话机、传真机、复印机、扫描仪、计算机、打印机</w:t>
            </w:r>
            <w:r>
              <w:rPr>
                <w:rFonts w:hint="eastAsia" w:ascii="宋体" w:hAnsi="宋体" w:cs="Times New Roman"/>
                <w:color w:val="000000"/>
                <w:sz w:val="20"/>
                <w:szCs w:val="20"/>
                <w:lang w:val="en-US" w:eastAsia="zh-CN"/>
              </w:rPr>
              <w:t>等，满足服务需求。</w:t>
            </w:r>
          </w:p>
        </w:tc>
        <w:tc>
          <w:tcPr>
            <w:tcW w:w="823"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82" w:type="dxa"/>
            <w:noWrap w:val="0"/>
            <w:vAlign w:val="top"/>
          </w:tcPr>
          <w:p>
            <w:pPr>
              <w:rPr>
                <w:rFonts w:hint="eastAsia" w:ascii="Times New Roman" w:hAnsi="Times New Roman" w:eastAsia="宋体" w:cs="Times New Roman"/>
                <w:kern w:val="2"/>
                <w:sz w:val="21"/>
                <w:lang w:val="en-US" w:eastAsia="zh-CN" w:bidi="ar-SA"/>
              </w:rPr>
            </w:pPr>
            <w:r>
              <w:rPr>
                <w:rFonts w:hint="eastAsia"/>
                <w:lang w:val="en-US" w:eastAsia="zh-CN"/>
              </w:rPr>
              <w:t>工作环境</w:t>
            </w:r>
          </w:p>
        </w:tc>
        <w:tc>
          <w:tcPr>
            <w:tcW w:w="1138" w:type="dxa"/>
            <w:noWrap w:val="0"/>
            <w:vAlign w:val="top"/>
          </w:tcPr>
          <w:p>
            <w:pPr>
              <w:ind w:firstLine="210" w:firstLineChars="100"/>
              <w:jc w:val="left"/>
              <w:rPr>
                <w:rFonts w:hint="eastAsia"/>
                <w:lang w:val="en-US" w:eastAsia="zh-CN"/>
              </w:rPr>
            </w:pPr>
            <w:r>
              <w:rPr>
                <w:rFonts w:hint="eastAsia"/>
                <w:lang w:val="en-US" w:eastAsia="zh-CN"/>
              </w:rPr>
              <w:t>Q</w:t>
            </w:r>
          </w:p>
          <w:p>
            <w:pPr>
              <w:ind w:firstLine="210" w:firstLineChars="100"/>
              <w:jc w:val="left"/>
              <w:rPr>
                <w:rFonts w:hint="default" w:ascii="Times New Roman" w:hAnsi="Times New Roman" w:eastAsia="宋体" w:cs="Times New Roman"/>
                <w:kern w:val="2"/>
                <w:sz w:val="21"/>
                <w:lang w:val="en-US" w:eastAsia="zh-CN" w:bidi="ar-SA"/>
              </w:rPr>
            </w:pPr>
            <w:r>
              <w:rPr>
                <w:rFonts w:hint="eastAsia"/>
                <w:lang w:val="en-US" w:eastAsia="zh-CN"/>
              </w:rPr>
              <w:t>7.1.4</w:t>
            </w:r>
          </w:p>
        </w:tc>
        <w:tc>
          <w:tcPr>
            <w:tcW w:w="10766" w:type="dxa"/>
            <w:noWrap w:val="0"/>
            <w:vAlign w:val="top"/>
          </w:tcPr>
          <w:p>
            <w:pPr>
              <w:rPr>
                <w:rFonts w:hint="eastAsia" w:ascii="Times New Roman" w:hAnsi="Times New Roman" w:eastAsia="宋体" w:cs="Times New Roman"/>
                <w:kern w:val="2"/>
                <w:sz w:val="21"/>
                <w:u w:val="none"/>
                <w:lang w:val="en-US" w:eastAsia="zh-CN" w:bidi="ar-SA"/>
              </w:rPr>
            </w:pPr>
            <w:r>
              <w:rPr>
                <w:rFonts w:hint="eastAsia" w:ascii="宋体" w:hAnsi="宋体" w:cs="Times New Roman"/>
                <w:color w:val="000000"/>
                <w:sz w:val="20"/>
                <w:szCs w:val="20"/>
                <w:lang w:val="en-US" w:eastAsia="zh-CN"/>
              </w:rPr>
              <w:t>办公面积约100平米，布局合理，场所卫生干净整洁，配有通风设施，办公环境及设施保证现代化，工作环境良好。</w:t>
            </w:r>
          </w:p>
        </w:tc>
        <w:tc>
          <w:tcPr>
            <w:tcW w:w="823"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82" w:type="dxa"/>
            <w:noWrap w:val="0"/>
            <w:vAlign w:val="top"/>
          </w:tcPr>
          <w:p>
            <w:pPr>
              <w:rPr>
                <w:rFonts w:hint="eastAsia" w:ascii="Times New Roman" w:hAnsi="Times New Roman" w:eastAsia="宋体" w:cs="Times New Roman"/>
                <w:kern w:val="2"/>
                <w:sz w:val="21"/>
                <w:lang w:val="en-US" w:eastAsia="zh-CN" w:bidi="ar-SA"/>
              </w:rPr>
            </w:pPr>
            <w:r>
              <w:rPr>
                <w:rFonts w:hint="eastAsia"/>
                <w:lang w:eastAsia="zh-CN"/>
              </w:rPr>
              <w:t>监视</w:t>
            </w:r>
            <w:r>
              <w:rPr>
                <w:rFonts w:hint="eastAsia"/>
                <w:lang w:val="en-US" w:eastAsia="zh-CN"/>
              </w:rPr>
              <w:t>和测量资源</w:t>
            </w:r>
          </w:p>
        </w:tc>
        <w:tc>
          <w:tcPr>
            <w:tcW w:w="1138" w:type="dxa"/>
            <w:noWrap w:val="0"/>
            <w:vAlign w:val="top"/>
          </w:tcPr>
          <w:p>
            <w:pPr>
              <w:ind w:firstLine="210" w:firstLineChars="100"/>
              <w:jc w:val="left"/>
              <w:rPr>
                <w:rFonts w:hint="eastAsia"/>
                <w:lang w:val="en-US" w:eastAsia="zh-CN"/>
              </w:rPr>
            </w:pPr>
            <w:r>
              <w:rPr>
                <w:rFonts w:hint="eastAsia"/>
                <w:lang w:val="en-US" w:eastAsia="zh-CN"/>
              </w:rPr>
              <w:t>Q</w:t>
            </w:r>
          </w:p>
          <w:p>
            <w:pPr>
              <w:ind w:firstLine="210" w:firstLineChars="100"/>
              <w:jc w:val="left"/>
              <w:rPr>
                <w:rFonts w:hint="eastAsia" w:ascii="Times New Roman" w:hAnsi="Times New Roman" w:eastAsia="宋体" w:cs="Times New Roman"/>
                <w:kern w:val="2"/>
                <w:sz w:val="21"/>
                <w:lang w:val="en-US" w:eastAsia="zh-CN" w:bidi="ar-SA"/>
              </w:rPr>
            </w:pPr>
            <w:r>
              <w:rPr>
                <w:rFonts w:hint="eastAsia"/>
                <w:lang w:val="en-US" w:eastAsia="zh-CN"/>
              </w:rPr>
              <w:t>7.1.5</w:t>
            </w:r>
          </w:p>
        </w:tc>
        <w:tc>
          <w:tcPr>
            <w:tcW w:w="10766" w:type="dxa"/>
            <w:noWrap w:val="0"/>
            <w:vAlign w:val="top"/>
          </w:tcPr>
          <w:p>
            <w:pPr>
              <w:rPr>
                <w:rFonts w:hint="eastAsia" w:ascii="宋体" w:hAnsi="宋体" w:eastAsia="宋体" w:cs="Times New Roman"/>
                <w:color w:val="000000"/>
                <w:kern w:val="2"/>
                <w:sz w:val="20"/>
                <w:szCs w:val="20"/>
                <w:lang w:val="en-US" w:eastAsia="zh-CN" w:bidi="ar-SA"/>
              </w:rPr>
            </w:pPr>
            <w:r>
              <w:rPr>
                <w:rFonts w:hint="eastAsia" w:ascii="宋体"/>
                <w:color w:val="000000"/>
                <w:sz w:val="20"/>
                <w:szCs w:val="20"/>
                <w:lang w:val="en-US" w:eastAsia="zh-CN"/>
              </w:rPr>
              <w:t>公司提供的是</w:t>
            </w:r>
            <w:r>
              <w:rPr>
                <w:rFonts w:hint="eastAsia" w:ascii="宋体" w:hAnsi="宋体"/>
                <w:szCs w:val="21"/>
              </w:rPr>
              <w:t>管理咨询、技术咨询、工程安全性评</w:t>
            </w:r>
            <w:r>
              <w:rPr>
                <w:rFonts w:hint="eastAsia" w:ascii="宋体" w:hAnsi="宋体"/>
                <w:szCs w:val="21"/>
                <w:lang w:val="en-US" w:eastAsia="zh-CN"/>
              </w:rPr>
              <w:t>估</w:t>
            </w:r>
            <w:r>
              <w:rPr>
                <w:rFonts w:hint="eastAsia" w:ascii="宋体"/>
                <w:color w:val="000000"/>
                <w:sz w:val="20"/>
                <w:szCs w:val="20"/>
                <w:lang w:val="en-US" w:eastAsia="zh-CN"/>
              </w:rPr>
              <w:t>服务，无检测设备，主要通过对人员及服务的评价进行监视和测量，制定了相应的记录清单。</w:t>
            </w:r>
          </w:p>
        </w:tc>
        <w:tc>
          <w:tcPr>
            <w:tcW w:w="823" w:type="dxa"/>
            <w:noWrap w:val="0"/>
            <w:vAlign w:val="top"/>
          </w:tcPr>
          <w:p>
            <w:pPr>
              <w:spacing w:line="360" w:lineRule="exact"/>
              <w:rPr>
                <w:rFonts w:hint="eastAsia" w:ascii="宋体" w:hAnsi="宋体" w:eastAsia="宋体" w:cs="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82" w:type="dxa"/>
            <w:noWrap w:val="0"/>
            <w:vAlign w:val="center"/>
          </w:tcPr>
          <w:p>
            <w:pPr>
              <w:spacing w:line="360" w:lineRule="exact"/>
              <w:ind w:firstLine="210" w:firstLineChars="100"/>
              <w:rPr>
                <w:rFonts w:ascii="宋体" w:hAnsi="宋体" w:cs="宋体"/>
                <w:szCs w:val="21"/>
              </w:rPr>
            </w:pPr>
            <w:r>
              <w:rPr>
                <w:rFonts w:hint="eastAsia" w:ascii="宋体" w:hAnsi="宋体" w:cs="宋体"/>
                <w:szCs w:val="21"/>
              </w:rPr>
              <w:t>成文信息</w:t>
            </w:r>
            <w:r>
              <w:rPr>
                <w:rFonts w:hint="eastAsia" w:ascii="宋体" w:hAnsi="宋体" w:cs="宋体"/>
                <w:szCs w:val="21"/>
                <w:lang w:eastAsia="zh-CN"/>
              </w:rPr>
              <w:t>、</w:t>
            </w:r>
            <w:r>
              <w:rPr>
                <w:rFonts w:hint="eastAsia"/>
                <w:highlight w:val="none"/>
                <w:lang w:val="en-US" w:eastAsia="zh-CN"/>
              </w:rPr>
              <w:t>合规义务、</w:t>
            </w:r>
            <w:r>
              <w:rPr>
                <w:rFonts w:hint="eastAsia" w:ascii="Times New Roman" w:hAnsi="Times New Roman" w:cs="Times New Roman"/>
                <w:kern w:val="2"/>
                <w:sz w:val="21"/>
                <w:lang w:val="en-US" w:eastAsia="zh-CN" w:bidi="ar-SA"/>
              </w:rPr>
              <w:t>法律法规要求</w:t>
            </w:r>
          </w:p>
        </w:tc>
        <w:tc>
          <w:tcPr>
            <w:tcW w:w="1138" w:type="dxa"/>
            <w:noWrap w:val="0"/>
            <w:vAlign w:val="center"/>
          </w:tcPr>
          <w:p>
            <w:pPr>
              <w:spacing w:line="360" w:lineRule="exact"/>
              <w:ind w:firstLine="210" w:firstLineChars="100"/>
              <w:rPr>
                <w:rFonts w:hint="eastAsia"/>
              </w:rPr>
            </w:pPr>
            <w:r>
              <w:rPr>
                <w:rFonts w:hint="eastAsia"/>
              </w:rPr>
              <w:t>QEO7.5</w:t>
            </w:r>
          </w:p>
          <w:p>
            <w:pPr>
              <w:rPr>
                <w:rFonts w:hint="eastAsia"/>
              </w:rPr>
            </w:pPr>
            <w:r>
              <w:rPr>
                <w:rFonts w:hint="eastAsia"/>
                <w:sz w:val="21"/>
                <w:szCs w:val="21"/>
                <w:lang w:val="en-US" w:eastAsia="zh-CN"/>
              </w:rPr>
              <w:t>EO6.1.3</w:t>
            </w:r>
          </w:p>
        </w:tc>
        <w:tc>
          <w:tcPr>
            <w:tcW w:w="10766" w:type="dxa"/>
            <w:noWrap w:val="0"/>
            <w:vAlign w:val="center"/>
          </w:tcPr>
          <w:p>
            <w:pPr>
              <w:spacing w:line="360" w:lineRule="exact"/>
              <w:ind w:firstLine="210" w:firstLineChars="100"/>
              <w:rPr>
                <w:rFonts w:hint="eastAsia" w:ascii="宋体" w:hAnsi="宋体" w:cs="宋体"/>
                <w:szCs w:val="21"/>
              </w:rPr>
            </w:pPr>
            <w:r>
              <w:rPr>
                <w:rFonts w:hint="eastAsia" w:ascii="宋体" w:hAnsi="宋体" w:cs="宋体"/>
                <w:szCs w:val="21"/>
              </w:rPr>
              <w:t>■受审核方建立的管理体系文件包括：</w:t>
            </w:r>
          </w:p>
          <w:p>
            <w:pPr>
              <w:spacing w:line="360" w:lineRule="exact"/>
              <w:ind w:firstLine="210" w:firstLineChars="100"/>
              <w:rPr>
                <w:rFonts w:hint="eastAsia" w:ascii="宋体" w:hAnsi="宋体" w:cs="宋体"/>
                <w:szCs w:val="21"/>
              </w:rPr>
            </w:pPr>
            <w:r>
              <w:rPr>
                <w:rFonts w:hint="eastAsia" w:ascii="宋体" w:hAnsi="宋体" w:cs="宋体"/>
                <w:szCs w:val="21"/>
              </w:rPr>
              <w:t>1.管理手册</w:t>
            </w:r>
            <w:r>
              <w:rPr>
                <w:rFonts w:hint="eastAsia" w:eastAsia="宋体"/>
                <w:szCs w:val="22"/>
                <w:lang w:val="en-US" w:eastAsia="zh-CN"/>
              </w:rPr>
              <w:t>PSM</w:t>
            </w:r>
            <w:r>
              <w:rPr>
                <w:rFonts w:hint="eastAsia" w:eastAsia="宋体"/>
                <w:szCs w:val="22"/>
              </w:rPr>
              <w:t>-SC-</w:t>
            </w:r>
            <w:r>
              <w:rPr>
                <w:rFonts w:hint="default" w:eastAsia="宋体"/>
                <w:szCs w:val="22"/>
                <w:lang w:val="en-US"/>
              </w:rPr>
              <w:t>2020</w:t>
            </w:r>
            <w:r>
              <w:rPr>
                <w:rFonts w:hint="eastAsia"/>
                <w:szCs w:val="22"/>
                <w:lang w:val="en-US" w:eastAsia="zh-CN"/>
              </w:rPr>
              <w:t xml:space="preserve"> A/1</w:t>
            </w:r>
            <w:r>
              <w:rPr>
                <w:rFonts w:hint="eastAsia" w:ascii="宋体" w:hAnsi="宋体" w:cs="宋体"/>
                <w:szCs w:val="21"/>
              </w:rPr>
              <w:t>版，2020年</w:t>
            </w:r>
            <w:r>
              <w:rPr>
                <w:rFonts w:ascii="宋体" w:hAnsi="宋体" w:cs="宋体"/>
                <w:szCs w:val="21"/>
              </w:rPr>
              <w:t>09</w:t>
            </w:r>
            <w:r>
              <w:rPr>
                <w:rFonts w:hint="eastAsia" w:ascii="宋体" w:hAnsi="宋体" w:cs="宋体"/>
                <w:szCs w:val="21"/>
              </w:rPr>
              <w:t>月</w:t>
            </w:r>
            <w:r>
              <w:rPr>
                <w:rFonts w:ascii="宋体" w:hAnsi="宋体" w:cs="宋体"/>
                <w:szCs w:val="21"/>
              </w:rPr>
              <w:t>01</w:t>
            </w:r>
            <w:r>
              <w:rPr>
                <w:rFonts w:hint="eastAsia" w:ascii="宋体" w:hAnsi="宋体" w:cs="宋体"/>
                <w:szCs w:val="21"/>
              </w:rPr>
              <w:t>日发表实施（含管理方针、目标）</w:t>
            </w:r>
          </w:p>
          <w:p>
            <w:pPr>
              <w:spacing w:line="360" w:lineRule="exact"/>
              <w:ind w:firstLine="210" w:firstLineChars="100"/>
              <w:rPr>
                <w:rFonts w:hint="eastAsia" w:ascii="宋体" w:hAnsi="宋体" w:cs="宋体"/>
                <w:szCs w:val="21"/>
              </w:rPr>
            </w:pPr>
            <w:r>
              <w:rPr>
                <w:rFonts w:hint="eastAsia" w:ascii="宋体" w:hAnsi="宋体" w:cs="宋体"/>
                <w:szCs w:val="21"/>
              </w:rPr>
              <w:t>2.程序文件</w:t>
            </w:r>
            <w:r>
              <w:rPr>
                <w:rFonts w:hint="eastAsia" w:eastAsia="宋体"/>
                <w:szCs w:val="22"/>
                <w:lang w:val="en-US" w:eastAsia="zh-CN"/>
              </w:rPr>
              <w:t>PSM</w:t>
            </w:r>
            <w:r>
              <w:rPr>
                <w:rFonts w:hint="eastAsia" w:eastAsia="宋体"/>
                <w:szCs w:val="22"/>
              </w:rPr>
              <w:t>-</w:t>
            </w:r>
            <w:r>
              <w:rPr>
                <w:rFonts w:hint="eastAsia"/>
                <w:szCs w:val="22"/>
                <w:lang w:val="en-US" w:eastAsia="zh-CN"/>
              </w:rPr>
              <w:t>CX</w:t>
            </w:r>
            <w:r>
              <w:rPr>
                <w:rFonts w:hint="eastAsia" w:eastAsia="宋体"/>
                <w:szCs w:val="22"/>
              </w:rPr>
              <w:t>-</w:t>
            </w:r>
            <w:r>
              <w:rPr>
                <w:rFonts w:hint="default" w:eastAsia="宋体"/>
                <w:szCs w:val="22"/>
                <w:lang w:val="en-US"/>
              </w:rPr>
              <w:t>2020</w:t>
            </w:r>
            <w:r>
              <w:rPr>
                <w:rFonts w:hint="eastAsia"/>
                <w:szCs w:val="22"/>
                <w:lang w:val="en-US" w:eastAsia="zh-CN"/>
              </w:rPr>
              <w:t xml:space="preserve"> A/1</w:t>
            </w:r>
            <w:r>
              <w:rPr>
                <w:rFonts w:hint="eastAsia" w:ascii="宋体" w:hAnsi="宋体" w:cs="宋体"/>
                <w:szCs w:val="21"/>
              </w:rPr>
              <w:t>，含</w:t>
            </w:r>
            <w:r>
              <w:rPr>
                <w:rFonts w:hint="eastAsia" w:ascii="宋体" w:hAnsi="宋体" w:cs="宋体"/>
                <w:szCs w:val="21"/>
                <w:lang w:val="en-US" w:eastAsia="zh-CN"/>
              </w:rPr>
              <w:t>30</w:t>
            </w:r>
            <w:r>
              <w:rPr>
                <w:rFonts w:hint="eastAsia" w:ascii="宋体" w:hAnsi="宋体" w:cs="宋体"/>
                <w:szCs w:val="21"/>
              </w:rPr>
              <w:t>个文件，包括标准要求的程序</w:t>
            </w:r>
          </w:p>
          <w:p>
            <w:pPr>
              <w:spacing w:line="360" w:lineRule="exact"/>
              <w:ind w:firstLine="210" w:firstLineChars="100"/>
              <w:rPr>
                <w:rFonts w:hint="eastAsia" w:ascii="宋体" w:hAnsi="宋体" w:cs="宋体"/>
                <w:szCs w:val="21"/>
              </w:rPr>
            </w:pPr>
            <w:r>
              <w:rPr>
                <w:rFonts w:ascii="宋体" w:hAnsi="宋体" w:cs="宋体"/>
                <w:szCs w:val="21"/>
              </w:rPr>
              <w:t>3</w:t>
            </w:r>
            <w:r>
              <w:rPr>
                <w:rFonts w:hint="eastAsia" w:ascii="宋体" w:hAnsi="宋体" w:cs="宋体"/>
                <w:szCs w:val="21"/>
              </w:rPr>
              <w:t>.体系运行所需要的记录</w:t>
            </w:r>
          </w:p>
          <w:p>
            <w:pPr>
              <w:spacing w:line="360" w:lineRule="exact"/>
              <w:ind w:firstLine="210" w:firstLineChars="100"/>
              <w:rPr>
                <w:rFonts w:hint="eastAsia" w:ascii="宋体" w:hAnsi="宋体" w:cs="宋体"/>
                <w:szCs w:val="21"/>
              </w:rPr>
            </w:pPr>
            <w:r>
              <w:rPr>
                <w:rFonts w:hint="eastAsia" w:ascii="宋体" w:hAnsi="宋体" w:cs="宋体"/>
                <w:szCs w:val="21"/>
              </w:rPr>
              <w:t>■编制了文件控制程序，用于对管理体系文件管理</w:t>
            </w:r>
          </w:p>
          <w:p>
            <w:pPr>
              <w:spacing w:line="360" w:lineRule="exact"/>
              <w:ind w:firstLine="210" w:firstLineChars="100"/>
              <w:rPr>
                <w:rFonts w:ascii="宋体" w:hAnsi="宋体" w:cs="宋体"/>
                <w:szCs w:val="21"/>
              </w:rPr>
            </w:pPr>
            <w:r>
              <w:rPr>
                <w:rFonts w:hint="eastAsia" w:ascii="宋体" w:hAnsi="宋体" w:cs="宋体"/>
                <w:szCs w:val="21"/>
              </w:rPr>
              <w:t>对外来文件进行了识</w:t>
            </w:r>
            <w:r>
              <w:rPr>
                <w:rFonts w:ascii="宋体" w:hAnsi="宋体" w:cs="宋体"/>
                <w:szCs w:val="21"/>
              </w:rPr>
              <w:t>别收集，现场提供有《外来文件清单》</w:t>
            </w:r>
            <w:r>
              <w:rPr>
                <w:rFonts w:hint="eastAsia" w:ascii="宋体" w:hAnsi="宋体" w:cs="宋体"/>
                <w:szCs w:val="21"/>
                <w:lang w:eastAsia="zh-CN"/>
              </w:rPr>
              <w:t>《</w:t>
            </w:r>
            <w:r>
              <w:rPr>
                <w:rFonts w:hint="eastAsia" w:ascii="宋体" w:hAnsi="宋体" w:cs="宋体"/>
                <w:szCs w:val="21"/>
              </w:rPr>
              <w:t>法律法规与其它要求清单</w:t>
            </w:r>
            <w:r>
              <w:rPr>
                <w:rFonts w:hint="eastAsia" w:ascii="宋体" w:hAnsi="宋体" w:cs="宋体"/>
                <w:szCs w:val="21"/>
                <w:lang w:eastAsia="zh-CN"/>
              </w:rPr>
              <w:t>》</w:t>
            </w:r>
            <w:r>
              <w:rPr>
                <w:rFonts w:ascii="宋体" w:hAnsi="宋体" w:cs="宋体"/>
                <w:szCs w:val="21"/>
              </w:rPr>
              <w:t>，包括质量法、安全生产法、</w:t>
            </w:r>
            <w:r>
              <w:rPr>
                <w:rFonts w:hint="default" w:ascii="Times New Roman" w:hAnsi="Times New Roman" w:cs="Times New Roman"/>
                <w:sz w:val="21"/>
                <w:szCs w:val="21"/>
              </w:rPr>
              <w:t>环境保护法、环境噪声污染防治法、劳动法、消防法、环境空气质量标准、固体废弃物环境防治法、仓库防火安全管理规则</w:t>
            </w:r>
            <w:r>
              <w:rPr>
                <w:rFonts w:hint="eastAsia" w:ascii="Times New Roman" w:hAnsi="Times New Roman" w:cs="Times New Roman"/>
                <w:sz w:val="21"/>
                <w:szCs w:val="21"/>
                <w:lang w:eastAsia="zh-CN"/>
              </w:rPr>
              <w:t>、</w:t>
            </w:r>
            <w:r>
              <w:rPr>
                <w:rFonts w:hint="eastAsia" w:ascii="宋体" w:hAnsi="宋体" w:cs="宋体"/>
                <w:szCs w:val="21"/>
              </w:rPr>
              <w:t>GB/T 35320-2017</w:t>
            </w:r>
            <w:r>
              <w:rPr>
                <w:rFonts w:hint="eastAsia" w:ascii="宋体" w:hAnsi="宋体" w:cs="宋体"/>
                <w:szCs w:val="21"/>
              </w:rPr>
              <w:t>《危险与可操作性分析应用指南》、</w:t>
            </w:r>
            <w:r>
              <w:rPr>
                <w:rFonts w:hint="eastAsia" w:ascii="宋体" w:hAnsi="宋体" w:cs="宋体"/>
                <w:szCs w:val="21"/>
              </w:rPr>
              <w:t>AQ/T3049-2013</w:t>
            </w:r>
            <w:r>
              <w:rPr>
                <w:rFonts w:hint="eastAsia" w:ascii="宋体" w:hAnsi="宋体" w:cs="宋体"/>
                <w:szCs w:val="21"/>
              </w:rPr>
              <w:t>《危险与可操作性分析（HAZOP 分析）应用导则》</w:t>
            </w:r>
            <w:r>
              <w:rPr>
                <w:rFonts w:hint="eastAsia" w:ascii="宋体" w:hAnsi="宋体" w:cs="宋体"/>
                <w:szCs w:val="21"/>
                <w:lang w:eastAsia="zh-CN"/>
              </w:rPr>
              <w:t>、</w:t>
            </w:r>
            <w:r>
              <w:rPr>
                <w:rFonts w:hint="eastAsia" w:ascii="宋体" w:hAnsi="宋体" w:cs="宋体"/>
                <w:szCs w:val="21"/>
              </w:rPr>
              <w:t>AQ/T3033-2010</w:t>
            </w:r>
            <w:r>
              <w:rPr>
                <w:rFonts w:hint="eastAsia" w:ascii="宋体" w:hAnsi="宋体" w:cs="宋体"/>
                <w:szCs w:val="21"/>
              </w:rPr>
              <w:t>《化工建设项目安全设计管理导则》</w:t>
            </w:r>
            <w:r>
              <w:rPr>
                <w:rFonts w:hint="eastAsia" w:ascii="宋体" w:hAnsi="宋体" w:cs="宋体"/>
                <w:szCs w:val="21"/>
                <w:lang w:eastAsia="zh-CN"/>
              </w:rPr>
              <w:t>、</w:t>
            </w:r>
            <w:r>
              <w:rPr>
                <w:rFonts w:hint="eastAsia" w:ascii="宋体" w:hAnsi="宋体" w:cs="宋体"/>
                <w:szCs w:val="21"/>
              </w:rPr>
              <w:t>AQ/T3034-2010</w:t>
            </w:r>
            <w:r>
              <w:rPr>
                <w:rFonts w:hint="eastAsia" w:ascii="宋体" w:hAnsi="宋体" w:cs="宋体"/>
                <w:szCs w:val="21"/>
              </w:rPr>
              <w:t>《化工企业工艺安全管理实施导则》</w:t>
            </w:r>
            <w:r>
              <w:rPr>
                <w:rFonts w:hint="eastAsia" w:ascii="宋体" w:hAnsi="宋体" w:cs="宋体"/>
                <w:szCs w:val="21"/>
                <w:lang w:eastAsia="zh-CN"/>
              </w:rPr>
              <w:t>、</w:t>
            </w:r>
            <w:r>
              <w:rPr>
                <w:rFonts w:ascii="宋体" w:hAnsi="宋体" w:cs="宋体"/>
                <w:szCs w:val="21"/>
              </w:rPr>
              <w:t>GB/T</w:t>
            </w:r>
            <w:r>
              <w:rPr>
                <w:rFonts w:hint="eastAsia" w:ascii="宋体" w:hAnsi="宋体" w:cs="宋体"/>
                <w:szCs w:val="21"/>
              </w:rPr>
              <w:t xml:space="preserve"> </w:t>
            </w:r>
            <w:r>
              <w:rPr>
                <w:rFonts w:ascii="宋体" w:hAnsi="宋体" w:cs="宋体"/>
                <w:szCs w:val="21"/>
              </w:rPr>
              <w:t>19001-2016《质量管理体系 要求》、GB/T</w:t>
            </w:r>
            <w:r>
              <w:rPr>
                <w:rFonts w:hint="eastAsia" w:ascii="宋体" w:hAnsi="宋体" w:cs="宋体"/>
                <w:szCs w:val="21"/>
              </w:rPr>
              <w:t xml:space="preserve"> </w:t>
            </w:r>
            <w:r>
              <w:rPr>
                <w:rFonts w:ascii="宋体" w:hAnsi="宋体" w:cs="宋体"/>
                <w:szCs w:val="21"/>
              </w:rPr>
              <w:t>24001-2016《环境管理体系 要求及使用指南》、GB/T</w:t>
            </w:r>
            <w:r>
              <w:rPr>
                <w:rFonts w:hint="eastAsia" w:ascii="宋体" w:hAnsi="宋体" w:cs="宋体"/>
                <w:szCs w:val="21"/>
              </w:rPr>
              <w:t xml:space="preserve"> </w:t>
            </w:r>
            <w:r>
              <w:rPr>
                <w:rFonts w:ascii="宋体" w:hAnsi="宋体" w:cs="宋体"/>
                <w:szCs w:val="21"/>
              </w:rPr>
              <w:t>45001-20</w:t>
            </w:r>
            <w:r>
              <w:rPr>
                <w:rFonts w:hint="eastAsia" w:ascii="宋体" w:hAnsi="宋体" w:cs="宋体"/>
                <w:szCs w:val="21"/>
              </w:rPr>
              <w:t>20</w:t>
            </w:r>
            <w:r>
              <w:rPr>
                <w:rFonts w:ascii="宋体" w:hAnsi="宋体" w:cs="宋体"/>
                <w:szCs w:val="21"/>
              </w:rPr>
              <w:t>《职业健康安全管理体系 要求及使用指南》等法规要求。</w:t>
            </w:r>
          </w:p>
          <w:p>
            <w:pPr>
              <w:spacing w:line="360" w:lineRule="exact"/>
              <w:ind w:firstLine="210" w:firstLineChars="100"/>
              <w:rPr>
                <w:rFonts w:hint="eastAsia" w:ascii="宋体" w:hAnsi="宋体" w:cs="宋体"/>
                <w:szCs w:val="21"/>
              </w:rPr>
            </w:pPr>
            <w:r>
              <w:rPr>
                <w:rFonts w:hint="eastAsia" w:ascii="宋体" w:hAnsi="宋体" w:cs="宋体"/>
                <w:szCs w:val="21"/>
              </w:rPr>
              <w:t>5.文件都进行了审核和批准并进行标识，有发文记录。</w:t>
            </w:r>
          </w:p>
        </w:tc>
        <w:tc>
          <w:tcPr>
            <w:tcW w:w="823" w:type="dxa"/>
            <w:noWrap w:val="0"/>
            <w:vAlign w:val="top"/>
          </w:tcPr>
          <w:p>
            <w:pPr>
              <w:spacing w:line="360" w:lineRule="exact"/>
              <w:ind w:firstLine="210" w:firstLineChars="100"/>
              <w:rPr>
                <w:rFonts w:hint="eastAsia" w:ascii="宋体" w:hAnsi="宋体" w:cs="宋体"/>
                <w:szCs w:val="21"/>
              </w:rPr>
            </w:pPr>
          </w:p>
          <w:p>
            <w:pPr>
              <w:spacing w:line="360" w:lineRule="exact"/>
              <w:ind w:firstLine="210" w:firstLineChars="100"/>
              <w:rPr>
                <w:rFonts w:hint="eastAsia" w:ascii="宋体" w:hAnsi="宋体" w:cs="宋体"/>
                <w:szCs w:val="21"/>
              </w:rPr>
            </w:pPr>
          </w:p>
          <w:p>
            <w:pPr>
              <w:spacing w:line="360" w:lineRule="exact"/>
              <w:ind w:firstLine="210" w:firstLineChars="100"/>
              <w:rPr>
                <w:rFonts w:hint="eastAsia" w:ascii="宋体" w:hAnsi="宋体" w:cs="宋体"/>
                <w:szCs w:val="21"/>
              </w:rPr>
            </w:pPr>
          </w:p>
          <w:p>
            <w:pPr>
              <w:spacing w:line="360" w:lineRule="exact"/>
              <w:ind w:firstLine="210" w:firstLineChars="100"/>
              <w:rPr>
                <w:rFonts w:hint="eastAsia" w:ascii="宋体" w:hAnsi="宋体" w:cs="宋体"/>
                <w:szCs w:val="21"/>
              </w:rPr>
            </w:pPr>
          </w:p>
          <w:p>
            <w:pPr>
              <w:spacing w:line="360" w:lineRule="exact"/>
              <w:ind w:firstLine="210" w:firstLineChars="100"/>
              <w:rPr>
                <w:rFonts w:hint="eastAsia" w:ascii="宋体" w:hAnsi="宋体" w:cs="宋体"/>
                <w:szCs w:val="21"/>
              </w:rPr>
            </w:pPr>
          </w:p>
          <w:p>
            <w:pPr>
              <w:spacing w:line="360" w:lineRule="exact"/>
              <w:ind w:firstLine="210" w:firstLineChars="100"/>
              <w:rPr>
                <w:rFonts w:hint="eastAsia" w:ascii="宋体" w:hAnsi="宋体" w:cs="宋体"/>
                <w:szCs w:val="21"/>
              </w:rPr>
            </w:pPr>
          </w:p>
          <w:p>
            <w:pPr>
              <w:spacing w:line="360" w:lineRule="exact"/>
              <w:ind w:firstLine="210" w:firstLineChars="100"/>
              <w:rPr>
                <w:rFonts w:hint="eastAsia" w:ascii="宋体" w:hAnsi="宋体" w:cs="宋体"/>
                <w:szCs w:val="21"/>
              </w:rPr>
            </w:pPr>
          </w:p>
          <w:p>
            <w:pPr>
              <w:spacing w:line="360" w:lineRule="exact"/>
              <w:ind w:firstLine="210" w:firstLineChars="100"/>
              <w:rPr>
                <w:rFonts w:hint="eastAsia" w:ascii="宋体" w:hAnsi="宋体" w:cs="宋体"/>
                <w:szCs w:val="21"/>
              </w:rPr>
            </w:pPr>
          </w:p>
          <w:p>
            <w:pPr>
              <w:spacing w:line="360" w:lineRule="exact"/>
              <w:rPr>
                <w:rFonts w:hint="eastAsia" w:ascii="宋体" w:hAnsi="宋体" w:cs="宋体"/>
                <w:szCs w:val="21"/>
              </w:rPr>
            </w:pPr>
          </w:p>
          <w:p>
            <w:pPr>
              <w:spacing w:line="360" w:lineRule="exact"/>
              <w:ind w:firstLine="210" w:firstLineChars="100"/>
              <w:rPr>
                <w:rFonts w:ascii="宋体" w:hAnsi="宋体" w:cs="宋体"/>
                <w:szCs w:val="21"/>
              </w:rPr>
            </w:pPr>
            <w:r>
              <w:rPr>
                <w:rFonts w:hint="eastAsia" w:ascii="宋体" w:hAnsi="宋体" w:cs="宋体"/>
                <w:szCs w:val="21"/>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82" w:type="dxa"/>
            <w:noWrap w:val="0"/>
            <w:vAlign w:val="top"/>
          </w:tcPr>
          <w:p>
            <w:pPr>
              <w:spacing w:line="360" w:lineRule="exact"/>
              <w:ind w:firstLine="210" w:firstLineChars="100"/>
              <w:rPr>
                <w:rFonts w:hint="eastAsia" w:ascii="宋体" w:hAnsi="宋体" w:cs="宋体"/>
                <w:szCs w:val="21"/>
              </w:rPr>
            </w:pPr>
            <w:r>
              <w:rPr>
                <w:rFonts w:hint="eastAsia" w:ascii="宋体" w:hAnsi="宋体" w:cs="宋体"/>
                <w:szCs w:val="21"/>
              </w:rPr>
              <w:t>环境因素、危险源</w:t>
            </w:r>
          </w:p>
        </w:tc>
        <w:tc>
          <w:tcPr>
            <w:tcW w:w="1138" w:type="dxa"/>
            <w:noWrap w:val="0"/>
            <w:vAlign w:val="top"/>
          </w:tcPr>
          <w:p>
            <w:pPr>
              <w:spacing w:line="360" w:lineRule="exact"/>
              <w:ind w:firstLine="210" w:firstLineChars="100"/>
              <w:rPr>
                <w:rFonts w:ascii="宋体" w:hAnsi="宋体" w:cs="宋体"/>
                <w:szCs w:val="21"/>
              </w:rPr>
            </w:pPr>
            <w:r>
              <w:rPr>
                <w:rFonts w:hint="eastAsia" w:ascii="宋体" w:hAnsi="宋体" w:cs="宋体"/>
                <w:szCs w:val="21"/>
              </w:rPr>
              <w:t>EO：6.1.2</w:t>
            </w:r>
          </w:p>
        </w:tc>
        <w:tc>
          <w:tcPr>
            <w:tcW w:w="10766" w:type="dxa"/>
            <w:noWrap w:val="0"/>
            <w:vAlign w:val="top"/>
          </w:tcPr>
          <w:p>
            <w:pPr>
              <w:spacing w:line="360" w:lineRule="exact"/>
              <w:ind w:firstLine="210" w:firstLineChars="100"/>
              <w:rPr>
                <w:rFonts w:hint="eastAsia" w:ascii="宋体" w:hAnsi="宋体" w:cs="宋体"/>
                <w:szCs w:val="21"/>
              </w:rPr>
            </w:pPr>
            <w:r>
              <w:rPr>
                <w:rFonts w:hint="eastAsia" w:ascii="宋体" w:hAnsi="宋体" w:cs="宋体"/>
                <w:szCs w:val="21"/>
              </w:rPr>
              <w:t>提供了《环境因素识别评价表》，办公室共识别环境因素</w:t>
            </w:r>
            <w:r>
              <w:rPr>
                <w:rFonts w:ascii="宋体" w:hAnsi="宋体" w:cs="宋体"/>
                <w:szCs w:val="21"/>
              </w:rPr>
              <w:t>12</w:t>
            </w:r>
            <w:r>
              <w:rPr>
                <w:rFonts w:hint="eastAsia" w:ascii="宋体" w:hAnsi="宋体" w:cs="宋体"/>
                <w:szCs w:val="21"/>
              </w:rPr>
              <w:t>项，包括：火灾、办公固废、污水排放、水消耗、电消耗等。在此基础上，识别出重要环境因素，提供了《重要环境因素清单》，共</w:t>
            </w:r>
            <w:r>
              <w:rPr>
                <w:rFonts w:hint="eastAsia" w:ascii="宋体" w:hAnsi="宋体" w:cs="宋体"/>
                <w:szCs w:val="21"/>
                <w:lang w:val="en-US" w:eastAsia="zh-CN"/>
              </w:rPr>
              <w:t>2</w:t>
            </w:r>
            <w:r>
              <w:rPr>
                <w:rFonts w:hint="eastAsia" w:ascii="宋体" w:hAnsi="宋体" w:cs="宋体"/>
                <w:szCs w:val="21"/>
              </w:rPr>
              <w:t>项，包括：潜在火灾事故发生、固体废弃物等。</w:t>
            </w:r>
          </w:p>
          <w:p>
            <w:pPr>
              <w:spacing w:line="360" w:lineRule="exact"/>
              <w:ind w:firstLine="210" w:firstLineChars="100"/>
              <w:rPr>
                <w:rFonts w:hint="eastAsia" w:ascii="宋体" w:hAnsi="宋体" w:cs="宋体"/>
                <w:szCs w:val="21"/>
              </w:rPr>
            </w:pPr>
            <w:r>
              <w:rPr>
                <w:rFonts w:hint="eastAsia" w:ascii="宋体" w:hAnsi="宋体" w:cs="宋体"/>
                <w:szCs w:val="21"/>
              </w:rPr>
              <w:t>提供了《危险源辨识评价表》，共识别危险源</w:t>
            </w:r>
            <w:r>
              <w:rPr>
                <w:rFonts w:ascii="宋体" w:hAnsi="宋体" w:cs="宋体"/>
                <w:szCs w:val="21"/>
              </w:rPr>
              <w:t>6</w:t>
            </w:r>
            <w:r>
              <w:rPr>
                <w:rFonts w:hint="eastAsia" w:ascii="宋体" w:hAnsi="宋体" w:cs="宋体"/>
                <w:szCs w:val="21"/>
              </w:rPr>
              <w:t>项，包括：火灾、触电</w:t>
            </w:r>
            <w:r>
              <w:rPr>
                <w:rFonts w:hint="eastAsia" w:ascii="宋体" w:hAnsi="宋体" w:cs="宋体"/>
                <w:szCs w:val="21"/>
                <w:lang w:eastAsia="zh-CN"/>
              </w:rPr>
              <w:t>、</w:t>
            </w:r>
            <w:r>
              <w:rPr>
                <w:rFonts w:hint="eastAsia" w:ascii="宋体" w:hAnsi="宋体" w:cs="宋体"/>
                <w:szCs w:val="21"/>
                <w:lang w:val="en-US" w:eastAsia="zh-CN"/>
              </w:rPr>
              <w:t>车辆伤害等</w:t>
            </w:r>
            <w:r>
              <w:rPr>
                <w:rFonts w:hint="eastAsia" w:ascii="宋体" w:hAnsi="宋体" w:cs="宋体"/>
                <w:szCs w:val="21"/>
              </w:rPr>
              <w:t>。在此基础上，识别出不可接受风险，提供了《不可接受风险清单》，共</w:t>
            </w:r>
            <w:r>
              <w:rPr>
                <w:rFonts w:hint="eastAsia" w:ascii="宋体" w:hAnsi="宋体" w:cs="宋体"/>
                <w:szCs w:val="21"/>
                <w:lang w:val="en-US" w:eastAsia="zh-CN"/>
              </w:rPr>
              <w:t>2</w:t>
            </w:r>
            <w:r>
              <w:rPr>
                <w:rFonts w:hint="eastAsia" w:ascii="宋体" w:hAnsi="宋体" w:cs="宋体"/>
                <w:szCs w:val="21"/>
              </w:rPr>
              <w:t>项，包括：火灾、</w:t>
            </w:r>
            <w:r>
              <w:rPr>
                <w:rFonts w:hint="eastAsia" w:ascii="宋体" w:hAnsi="宋体" w:cs="宋体"/>
                <w:szCs w:val="21"/>
                <w:lang w:val="en-US" w:eastAsia="zh-CN"/>
              </w:rPr>
              <w:t>意外</w:t>
            </w:r>
            <w:r>
              <w:rPr>
                <w:rFonts w:hint="eastAsia" w:ascii="宋体" w:hAnsi="宋体" w:cs="宋体"/>
                <w:szCs w:val="21"/>
              </w:rPr>
              <w:t>伤害等。</w:t>
            </w:r>
          </w:p>
          <w:p>
            <w:pPr>
              <w:spacing w:line="360" w:lineRule="exact"/>
              <w:ind w:firstLine="210" w:firstLineChars="100"/>
              <w:rPr>
                <w:rFonts w:hint="eastAsia" w:ascii="宋体" w:hAnsi="宋体" w:cs="宋体"/>
                <w:szCs w:val="21"/>
              </w:rPr>
            </w:pPr>
            <w:r>
              <w:rPr>
                <w:rFonts w:hint="eastAsia" w:ascii="宋体" w:hAnsi="宋体" w:cs="宋体"/>
                <w:szCs w:val="21"/>
              </w:rPr>
              <w:t>控制措施：培训与教育、日常控制、管理制度、应急预案等。</w:t>
            </w:r>
          </w:p>
          <w:p>
            <w:pPr>
              <w:spacing w:line="360" w:lineRule="exact"/>
              <w:ind w:firstLine="240" w:firstLineChars="100"/>
              <w:rPr>
                <w:rFonts w:ascii="宋体" w:hAnsi="宋体" w:cs="宋体"/>
                <w:szCs w:val="21"/>
              </w:rPr>
            </w:pPr>
            <w:r>
              <w:rPr>
                <w:rFonts w:hint="eastAsia" w:ascii="宋体" w:hAnsi="宋体"/>
                <w:sz w:val="24"/>
                <w:szCs w:val="24"/>
              </w:rPr>
              <w:t>编制：</w:t>
            </w:r>
            <w:r>
              <w:rPr>
                <w:rFonts w:hint="eastAsia" w:ascii="宋体" w:hAnsi="宋体"/>
                <w:sz w:val="24"/>
                <w:szCs w:val="24"/>
                <w:lang w:eastAsia="zh-CN"/>
              </w:rPr>
              <w:t>刘娟娟</w:t>
            </w:r>
            <w:r>
              <w:rPr>
                <w:rFonts w:hint="eastAsia" w:ascii="宋体" w:hAnsi="宋体"/>
                <w:sz w:val="24"/>
                <w:szCs w:val="24"/>
              </w:rPr>
              <w:t xml:space="preserve">    批准：</w:t>
            </w:r>
            <w:r>
              <w:rPr>
                <w:rFonts w:hint="eastAsia" w:ascii="宋体" w:hAnsi="宋体"/>
                <w:sz w:val="24"/>
                <w:szCs w:val="24"/>
                <w:lang w:eastAsia="zh-CN"/>
              </w:rPr>
              <w:t>张志东</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日期： 20</w:t>
            </w:r>
            <w:r>
              <w:rPr>
                <w:rFonts w:hint="eastAsia" w:ascii="宋体" w:hAnsi="宋体"/>
                <w:sz w:val="24"/>
                <w:szCs w:val="24"/>
                <w:lang w:val="en-US" w:eastAsia="zh-CN"/>
              </w:rPr>
              <w:t>20</w:t>
            </w:r>
            <w:r>
              <w:rPr>
                <w:rFonts w:hint="eastAsia" w:ascii="宋体" w:hAnsi="宋体"/>
                <w:sz w:val="24"/>
                <w:szCs w:val="24"/>
              </w:rPr>
              <w:t>-</w:t>
            </w:r>
            <w:r>
              <w:rPr>
                <w:rFonts w:hint="eastAsia" w:ascii="宋体" w:hAnsi="宋体"/>
                <w:sz w:val="24"/>
                <w:szCs w:val="24"/>
                <w:lang w:val="en-US" w:eastAsia="zh-CN"/>
              </w:rPr>
              <w:t>09</w:t>
            </w:r>
            <w:r>
              <w:rPr>
                <w:rFonts w:hint="eastAsia" w:ascii="宋体" w:hAnsi="宋体"/>
                <w:sz w:val="24"/>
                <w:szCs w:val="24"/>
              </w:rPr>
              <w:t>-</w:t>
            </w:r>
            <w:r>
              <w:rPr>
                <w:rFonts w:hint="eastAsia" w:ascii="宋体" w:hAnsi="宋体"/>
                <w:sz w:val="24"/>
                <w:szCs w:val="24"/>
                <w:lang w:val="en-US" w:eastAsia="zh-CN"/>
              </w:rPr>
              <w:t>01</w:t>
            </w:r>
          </w:p>
        </w:tc>
        <w:tc>
          <w:tcPr>
            <w:tcW w:w="823" w:type="dxa"/>
            <w:noWrap w:val="0"/>
            <w:vAlign w:val="top"/>
          </w:tcPr>
          <w:p>
            <w:pPr>
              <w:spacing w:line="360" w:lineRule="exact"/>
              <w:ind w:firstLine="210" w:firstLineChars="100"/>
              <w:rPr>
                <w:rFonts w:hint="eastAsia" w:ascii="宋体" w:hAnsi="宋体" w:cs="宋体"/>
                <w:szCs w:val="21"/>
              </w:rPr>
            </w:pPr>
          </w:p>
          <w:p>
            <w:pPr>
              <w:spacing w:line="360" w:lineRule="exact"/>
              <w:ind w:firstLine="210" w:firstLineChars="100"/>
              <w:rPr>
                <w:rFonts w:hint="eastAsia" w:ascii="宋体" w:hAnsi="宋体" w:cs="宋体"/>
                <w:szCs w:val="21"/>
              </w:rPr>
            </w:pPr>
          </w:p>
          <w:p>
            <w:pPr>
              <w:spacing w:line="360" w:lineRule="exact"/>
              <w:ind w:firstLine="210" w:firstLineChars="100"/>
              <w:rPr>
                <w:rFonts w:hint="eastAsia" w:ascii="宋体" w:hAnsi="宋体" w:cs="宋体"/>
                <w:szCs w:val="21"/>
              </w:rPr>
            </w:pPr>
          </w:p>
          <w:p>
            <w:pPr>
              <w:spacing w:line="360" w:lineRule="exact"/>
              <w:ind w:firstLine="210" w:firstLineChars="100"/>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82" w:type="dxa"/>
            <w:noWrap w:val="0"/>
            <w:vAlign w:val="top"/>
          </w:tcPr>
          <w:p>
            <w:pPr>
              <w:rPr>
                <w:rFonts w:hint="eastAsia" w:ascii="Times New Roman" w:hAnsi="Times New Roman" w:eastAsia="宋体" w:cs="Times New Roman"/>
                <w:kern w:val="2"/>
                <w:sz w:val="21"/>
                <w:lang w:val="en-US" w:eastAsia="zh-CN" w:bidi="ar-SA"/>
              </w:rPr>
            </w:pPr>
            <w:r>
              <w:rPr>
                <w:rFonts w:hint="eastAsia"/>
                <w:highlight w:val="none"/>
                <w:lang w:val="en-US" w:eastAsia="zh-CN"/>
              </w:rPr>
              <w:t>环境、</w:t>
            </w:r>
            <w:r>
              <w:rPr>
                <w:rFonts w:hint="eastAsia"/>
                <w:highlight w:val="none"/>
              </w:rPr>
              <w:t>职业健康安全目标指标的合理性，管理方案的可行性</w:t>
            </w:r>
          </w:p>
        </w:tc>
        <w:tc>
          <w:tcPr>
            <w:tcW w:w="1138" w:type="dxa"/>
            <w:noWrap w:val="0"/>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cs="Times New Roman"/>
                <w:kern w:val="2"/>
                <w:sz w:val="21"/>
                <w:lang w:val="en-US" w:eastAsia="zh-CN" w:bidi="ar-SA"/>
              </w:rPr>
              <w:t>EO6.2.2</w:t>
            </w:r>
          </w:p>
        </w:tc>
        <w:tc>
          <w:tcPr>
            <w:tcW w:w="10766" w:type="dxa"/>
            <w:noWrap w:val="0"/>
            <w:vAlign w:val="top"/>
          </w:tcPr>
          <w:tbl>
            <w:tblPr>
              <w:tblStyle w:val="9"/>
              <w:tblpPr w:leftFromText="180" w:rightFromText="180" w:vertAnchor="text" w:horzAnchor="page" w:tblpX="1369" w:tblpY="329"/>
              <w:tblOverlap w:val="never"/>
              <w:tblW w:w="15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1327"/>
              <w:gridCol w:w="986"/>
              <w:gridCol w:w="3723"/>
              <w:gridCol w:w="868"/>
              <w:gridCol w:w="902"/>
              <w:gridCol w:w="1095"/>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7" w:type="dxa"/>
                  <w:noWrap w:val="0"/>
                  <w:vAlign w:val="center"/>
                </w:tcPr>
                <w:p>
                  <w:pPr>
                    <w:spacing w:line="400" w:lineRule="exact"/>
                    <w:jc w:val="center"/>
                    <w:rPr>
                      <w:rFonts w:hint="eastAsia" w:ascii="宋体" w:hAnsi="宋体"/>
                      <w:sz w:val="18"/>
                      <w:szCs w:val="18"/>
                      <w:lang w:eastAsia="zh-CN"/>
                    </w:rPr>
                  </w:pPr>
                  <w:r>
                    <w:rPr>
                      <w:rFonts w:hint="eastAsia" w:ascii="宋体" w:hAnsi="宋体"/>
                      <w:sz w:val="18"/>
                      <w:szCs w:val="18"/>
                      <w:lang w:eastAsia="zh-CN"/>
                    </w:rPr>
                    <w:t>固废排放</w:t>
                  </w:r>
                </w:p>
              </w:tc>
              <w:tc>
                <w:tcPr>
                  <w:tcW w:w="1327" w:type="dxa"/>
                  <w:noWrap w:val="0"/>
                  <w:vAlign w:val="center"/>
                </w:tcPr>
                <w:p>
                  <w:pPr>
                    <w:spacing w:line="400" w:lineRule="exact"/>
                    <w:jc w:val="left"/>
                    <w:rPr>
                      <w:rFonts w:hint="eastAsia" w:ascii="宋体" w:hAnsi="宋体" w:eastAsia="宋体"/>
                      <w:sz w:val="18"/>
                      <w:szCs w:val="18"/>
                      <w:lang w:eastAsia="zh-CN"/>
                    </w:rPr>
                  </w:pPr>
                  <w:r>
                    <w:rPr>
                      <w:rFonts w:hint="eastAsia" w:ascii="宋体" w:hAnsi="宋体"/>
                      <w:sz w:val="18"/>
                      <w:szCs w:val="18"/>
                      <w:lang w:eastAsia="zh-CN"/>
                    </w:rPr>
                    <w:t>固体废弃物分类收集合规处置率100%</w:t>
                  </w:r>
                </w:p>
              </w:tc>
              <w:tc>
                <w:tcPr>
                  <w:tcW w:w="986" w:type="dxa"/>
                  <w:noWrap w:val="0"/>
                  <w:vAlign w:val="center"/>
                </w:tcPr>
                <w:p>
                  <w:pPr>
                    <w:spacing w:line="400" w:lineRule="exact"/>
                    <w:jc w:val="center"/>
                    <w:rPr>
                      <w:rFonts w:hint="eastAsia" w:ascii="宋体" w:hAnsi="宋体"/>
                      <w:sz w:val="18"/>
                      <w:szCs w:val="18"/>
                    </w:rPr>
                  </w:pPr>
                </w:p>
                <w:p>
                  <w:pPr>
                    <w:spacing w:line="400" w:lineRule="exact"/>
                    <w:jc w:val="center"/>
                    <w:rPr>
                      <w:rFonts w:hint="eastAsia" w:ascii="宋体" w:hAnsi="宋体"/>
                      <w:sz w:val="18"/>
                      <w:szCs w:val="18"/>
                    </w:rPr>
                  </w:pPr>
                </w:p>
                <w:p>
                  <w:pPr>
                    <w:spacing w:line="400" w:lineRule="exact"/>
                    <w:jc w:val="center"/>
                    <w:rPr>
                      <w:rFonts w:hint="eastAsia" w:ascii="宋体" w:hAnsi="宋体"/>
                      <w:sz w:val="18"/>
                      <w:szCs w:val="18"/>
                    </w:rPr>
                  </w:pPr>
                  <w:r>
                    <w:rPr>
                      <w:rFonts w:hint="eastAsia" w:ascii="宋体" w:hAnsi="宋体"/>
                      <w:sz w:val="18"/>
                      <w:szCs w:val="18"/>
                    </w:rPr>
                    <w:t>办公室</w:t>
                  </w:r>
                </w:p>
              </w:tc>
              <w:tc>
                <w:tcPr>
                  <w:tcW w:w="3723" w:type="dxa"/>
                  <w:noWrap w:val="0"/>
                  <w:vAlign w:val="center"/>
                </w:tcPr>
                <w:p>
                  <w:pPr>
                    <w:spacing w:line="400" w:lineRule="exact"/>
                    <w:jc w:val="left"/>
                    <w:rPr>
                      <w:rFonts w:hint="eastAsia" w:ascii="宋体" w:hAnsi="宋体"/>
                      <w:sz w:val="18"/>
                      <w:szCs w:val="18"/>
                    </w:rPr>
                  </w:pPr>
                  <w:r>
                    <w:rPr>
                      <w:rFonts w:hint="eastAsia" w:ascii="宋体" w:hAnsi="宋体"/>
                      <w:sz w:val="18"/>
                      <w:szCs w:val="18"/>
                    </w:rPr>
                    <w:t>1.加强员工培训，提高环保意识；</w:t>
                  </w:r>
                </w:p>
                <w:p>
                  <w:pPr>
                    <w:spacing w:line="400" w:lineRule="exact"/>
                    <w:jc w:val="left"/>
                    <w:rPr>
                      <w:rFonts w:hint="eastAsia" w:ascii="宋体" w:hAnsi="宋体"/>
                      <w:sz w:val="18"/>
                      <w:szCs w:val="18"/>
                    </w:rPr>
                  </w:pPr>
                  <w:r>
                    <w:rPr>
                      <w:rFonts w:hint="eastAsia" w:ascii="宋体" w:hAnsi="宋体"/>
                      <w:sz w:val="18"/>
                      <w:szCs w:val="18"/>
                    </w:rPr>
                    <w:t>2.配备垃圾桶，固废分类收集；</w:t>
                  </w:r>
                </w:p>
                <w:p>
                  <w:pPr>
                    <w:spacing w:line="400" w:lineRule="exact"/>
                    <w:jc w:val="left"/>
                    <w:rPr>
                      <w:rFonts w:hint="eastAsia" w:ascii="宋体" w:hAnsi="宋体"/>
                      <w:sz w:val="18"/>
                      <w:szCs w:val="18"/>
                    </w:rPr>
                  </w:pPr>
                  <w:r>
                    <w:rPr>
                      <w:rFonts w:hint="eastAsia" w:ascii="宋体" w:hAnsi="宋体"/>
                      <w:sz w:val="18"/>
                      <w:szCs w:val="18"/>
                    </w:rPr>
                    <w:t>3定期进行日常检查.</w:t>
                  </w:r>
                </w:p>
              </w:tc>
              <w:tc>
                <w:tcPr>
                  <w:tcW w:w="868" w:type="dxa"/>
                  <w:noWrap w:val="0"/>
                  <w:vAlign w:val="center"/>
                </w:tcPr>
                <w:p>
                  <w:pPr>
                    <w:spacing w:line="400" w:lineRule="exact"/>
                    <w:jc w:val="center"/>
                    <w:rPr>
                      <w:rFonts w:hint="eastAsia" w:ascii="宋体" w:hAnsi="宋体"/>
                      <w:sz w:val="18"/>
                      <w:szCs w:val="18"/>
                    </w:rPr>
                  </w:pPr>
                  <w:r>
                    <w:rPr>
                      <w:rFonts w:hint="eastAsia" w:ascii="宋体" w:hAnsi="宋体"/>
                      <w:sz w:val="18"/>
                      <w:szCs w:val="18"/>
                    </w:rPr>
                    <w:t>各部门</w:t>
                  </w:r>
                </w:p>
              </w:tc>
              <w:tc>
                <w:tcPr>
                  <w:tcW w:w="902" w:type="dxa"/>
                  <w:noWrap w:val="0"/>
                  <w:vAlign w:val="center"/>
                </w:tcPr>
                <w:p>
                  <w:pPr>
                    <w:spacing w:line="400" w:lineRule="exact"/>
                    <w:jc w:val="center"/>
                    <w:rPr>
                      <w:rFonts w:hint="eastAsia" w:ascii="宋体" w:hAnsi="宋体" w:eastAsia="宋体"/>
                      <w:sz w:val="18"/>
                      <w:szCs w:val="18"/>
                      <w:lang w:eastAsia="zh-CN"/>
                    </w:rPr>
                  </w:pPr>
                  <w:r>
                    <w:rPr>
                      <w:rFonts w:hint="eastAsia" w:ascii="宋体" w:hAnsi="宋体"/>
                      <w:sz w:val="18"/>
                      <w:szCs w:val="18"/>
                      <w:lang w:eastAsia="zh-CN"/>
                    </w:rPr>
                    <w:t>刘娟娟</w:t>
                  </w:r>
                </w:p>
              </w:tc>
              <w:tc>
                <w:tcPr>
                  <w:tcW w:w="1095" w:type="dxa"/>
                  <w:noWrap w:val="0"/>
                  <w:vAlign w:val="center"/>
                </w:tcPr>
                <w:p>
                  <w:pPr>
                    <w:spacing w:line="400" w:lineRule="exact"/>
                    <w:jc w:val="center"/>
                    <w:rPr>
                      <w:rFonts w:hint="eastAsia" w:ascii="宋体" w:hAnsi="宋体"/>
                      <w:sz w:val="18"/>
                      <w:szCs w:val="18"/>
                    </w:rPr>
                  </w:pPr>
                  <w:r>
                    <w:rPr>
                      <w:rFonts w:hint="eastAsia" w:ascii="宋体" w:hAnsi="宋体"/>
                      <w:sz w:val="18"/>
                      <w:szCs w:val="18"/>
                    </w:rPr>
                    <w:t>2000元</w:t>
                  </w:r>
                </w:p>
              </w:tc>
              <w:tc>
                <w:tcPr>
                  <w:tcW w:w="1344" w:type="dxa"/>
                  <w:noWrap w:val="0"/>
                  <w:vAlign w:val="center"/>
                </w:tcPr>
                <w:p>
                  <w:pPr>
                    <w:spacing w:line="400" w:lineRule="exact"/>
                    <w:jc w:val="center"/>
                    <w:rPr>
                      <w:rFonts w:hint="eastAsia" w:ascii="宋体" w:hAnsi="宋体" w:eastAsia="宋体"/>
                      <w:sz w:val="18"/>
                      <w:szCs w:val="18"/>
                      <w:lang w:eastAsia="zh-CN"/>
                    </w:rPr>
                  </w:pPr>
                  <w:r>
                    <w:rPr>
                      <w:rFonts w:hint="eastAsia" w:ascii="宋体" w:hAnsi="宋体"/>
                      <w:sz w:val="18"/>
                      <w:szCs w:val="18"/>
                      <w:lang w:eastAsia="zh-CN"/>
                    </w:rPr>
                    <w:t>2020-09-01至2020-12-31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7" w:type="dxa"/>
                  <w:noWrap w:val="0"/>
                  <w:vAlign w:val="center"/>
                </w:tcPr>
                <w:p>
                  <w:pPr>
                    <w:spacing w:line="400" w:lineRule="exact"/>
                    <w:jc w:val="center"/>
                    <w:rPr>
                      <w:rFonts w:hint="eastAsia" w:ascii="宋体" w:hAnsi="宋体"/>
                      <w:sz w:val="18"/>
                      <w:szCs w:val="18"/>
                      <w:lang w:eastAsia="zh-CN"/>
                    </w:rPr>
                  </w:pPr>
                  <w:r>
                    <w:rPr>
                      <w:rFonts w:hint="eastAsia" w:ascii="宋体" w:hAnsi="宋体"/>
                      <w:sz w:val="18"/>
                      <w:szCs w:val="18"/>
                      <w:lang w:eastAsia="zh-CN"/>
                    </w:rPr>
                    <w:t>火灾</w:t>
                  </w:r>
                </w:p>
              </w:tc>
              <w:tc>
                <w:tcPr>
                  <w:tcW w:w="1327" w:type="dxa"/>
                  <w:noWrap w:val="0"/>
                  <w:vAlign w:val="center"/>
                </w:tcPr>
                <w:p>
                  <w:pPr>
                    <w:spacing w:line="400" w:lineRule="exact"/>
                    <w:jc w:val="center"/>
                    <w:rPr>
                      <w:rFonts w:hint="eastAsia" w:ascii="宋体" w:hAnsi="宋体" w:eastAsia="宋体"/>
                      <w:sz w:val="18"/>
                      <w:szCs w:val="18"/>
                      <w:lang w:eastAsia="zh-CN"/>
                    </w:rPr>
                  </w:pPr>
                  <w:r>
                    <w:rPr>
                      <w:rFonts w:hint="eastAsia" w:ascii="宋体" w:hAnsi="宋体" w:eastAsia="宋体"/>
                      <w:sz w:val="18"/>
                      <w:szCs w:val="18"/>
                      <w:lang w:eastAsia="zh-CN"/>
                    </w:rPr>
                    <w:t>火灾发生为零</w:t>
                  </w:r>
                </w:p>
              </w:tc>
              <w:tc>
                <w:tcPr>
                  <w:tcW w:w="986" w:type="dxa"/>
                  <w:noWrap w:val="0"/>
                  <w:vAlign w:val="center"/>
                </w:tcPr>
                <w:p>
                  <w:pPr>
                    <w:spacing w:line="400" w:lineRule="exact"/>
                    <w:jc w:val="center"/>
                    <w:rPr>
                      <w:rFonts w:hint="eastAsia" w:ascii="宋体" w:hAnsi="宋体"/>
                      <w:sz w:val="18"/>
                      <w:szCs w:val="18"/>
                    </w:rPr>
                  </w:pPr>
                  <w:r>
                    <w:rPr>
                      <w:rFonts w:hint="eastAsia" w:ascii="宋体" w:hAnsi="宋体"/>
                      <w:sz w:val="18"/>
                      <w:szCs w:val="18"/>
                    </w:rPr>
                    <w:t>办公室</w:t>
                  </w:r>
                </w:p>
              </w:tc>
              <w:tc>
                <w:tcPr>
                  <w:tcW w:w="3723" w:type="dxa"/>
                  <w:noWrap w:val="0"/>
                  <w:vAlign w:val="center"/>
                </w:tcPr>
                <w:p>
                  <w:pPr>
                    <w:numPr>
                      <w:ilvl w:val="0"/>
                      <w:numId w:val="1"/>
                    </w:numPr>
                    <w:spacing w:line="400" w:lineRule="exact"/>
                    <w:jc w:val="left"/>
                    <w:rPr>
                      <w:rFonts w:hint="eastAsia" w:ascii="宋体" w:hAnsi="宋体"/>
                      <w:sz w:val="18"/>
                      <w:szCs w:val="18"/>
                    </w:rPr>
                  </w:pPr>
                  <w:r>
                    <w:rPr>
                      <w:rFonts w:hint="eastAsia" w:ascii="宋体" w:hAnsi="宋体"/>
                      <w:sz w:val="18"/>
                      <w:szCs w:val="18"/>
                    </w:rPr>
                    <w:t>制定程序文件、应急预案；</w:t>
                  </w:r>
                </w:p>
                <w:p>
                  <w:pPr>
                    <w:numPr>
                      <w:ilvl w:val="0"/>
                      <w:numId w:val="1"/>
                    </w:numPr>
                    <w:spacing w:line="400" w:lineRule="exact"/>
                    <w:jc w:val="left"/>
                    <w:rPr>
                      <w:rFonts w:hint="eastAsia" w:ascii="宋体" w:hAnsi="宋体"/>
                      <w:sz w:val="18"/>
                      <w:szCs w:val="18"/>
                    </w:rPr>
                  </w:pPr>
                  <w:r>
                    <w:rPr>
                      <w:rFonts w:hint="eastAsia" w:ascii="宋体" w:hAnsi="宋体"/>
                      <w:sz w:val="18"/>
                      <w:szCs w:val="18"/>
                    </w:rPr>
                    <w:t>配备灭火器等消设施并定期点检；</w:t>
                  </w:r>
                </w:p>
                <w:p>
                  <w:pPr>
                    <w:spacing w:line="400" w:lineRule="exact"/>
                    <w:jc w:val="left"/>
                    <w:rPr>
                      <w:rFonts w:hint="eastAsia" w:ascii="宋体" w:hAnsi="宋体"/>
                      <w:sz w:val="18"/>
                      <w:szCs w:val="18"/>
                    </w:rPr>
                  </w:pPr>
                  <w:r>
                    <w:rPr>
                      <w:rFonts w:hint="eastAsia" w:ascii="宋体" w:hAnsi="宋体"/>
                      <w:sz w:val="18"/>
                      <w:szCs w:val="18"/>
                    </w:rPr>
                    <w:t>3、定期进行日常检查。</w:t>
                  </w:r>
                </w:p>
              </w:tc>
              <w:tc>
                <w:tcPr>
                  <w:tcW w:w="868" w:type="dxa"/>
                  <w:noWrap w:val="0"/>
                  <w:vAlign w:val="center"/>
                </w:tcPr>
                <w:p>
                  <w:pPr>
                    <w:spacing w:line="400" w:lineRule="exact"/>
                    <w:jc w:val="center"/>
                    <w:rPr>
                      <w:rFonts w:hint="eastAsia" w:ascii="宋体" w:hAnsi="宋体"/>
                      <w:sz w:val="18"/>
                      <w:szCs w:val="18"/>
                    </w:rPr>
                  </w:pPr>
                  <w:r>
                    <w:rPr>
                      <w:rFonts w:hint="eastAsia" w:ascii="宋体" w:hAnsi="宋体"/>
                      <w:sz w:val="18"/>
                      <w:szCs w:val="18"/>
                    </w:rPr>
                    <w:t>各部门</w:t>
                  </w:r>
                </w:p>
              </w:tc>
              <w:tc>
                <w:tcPr>
                  <w:tcW w:w="902" w:type="dxa"/>
                  <w:noWrap w:val="0"/>
                  <w:vAlign w:val="center"/>
                </w:tcPr>
                <w:p>
                  <w:pPr>
                    <w:spacing w:line="400" w:lineRule="exact"/>
                    <w:jc w:val="center"/>
                    <w:rPr>
                      <w:rFonts w:hint="eastAsia" w:ascii="宋体" w:hAnsi="宋体" w:eastAsia="宋体"/>
                      <w:sz w:val="18"/>
                      <w:szCs w:val="18"/>
                      <w:lang w:eastAsia="zh-CN"/>
                    </w:rPr>
                  </w:pPr>
                  <w:r>
                    <w:rPr>
                      <w:rFonts w:hint="eastAsia" w:ascii="宋体" w:hAnsi="宋体"/>
                      <w:sz w:val="18"/>
                      <w:szCs w:val="18"/>
                      <w:lang w:eastAsia="zh-CN"/>
                    </w:rPr>
                    <w:t>刘娟娟</w:t>
                  </w:r>
                </w:p>
              </w:tc>
              <w:tc>
                <w:tcPr>
                  <w:tcW w:w="1095" w:type="dxa"/>
                  <w:noWrap w:val="0"/>
                  <w:vAlign w:val="center"/>
                </w:tcPr>
                <w:p>
                  <w:pPr>
                    <w:spacing w:line="400" w:lineRule="exact"/>
                    <w:jc w:val="center"/>
                    <w:rPr>
                      <w:rFonts w:hint="eastAsia" w:ascii="宋体" w:hAnsi="宋体"/>
                      <w:sz w:val="18"/>
                      <w:szCs w:val="18"/>
                    </w:rPr>
                  </w:pPr>
                  <w:r>
                    <w:rPr>
                      <w:rFonts w:hint="eastAsia" w:ascii="宋体" w:hAnsi="宋体"/>
                      <w:sz w:val="18"/>
                      <w:szCs w:val="18"/>
                      <w:lang w:val="en-US" w:eastAsia="zh-CN"/>
                    </w:rPr>
                    <w:t>800</w:t>
                  </w:r>
                  <w:r>
                    <w:rPr>
                      <w:rFonts w:hint="eastAsia" w:ascii="宋体" w:hAnsi="宋体"/>
                      <w:sz w:val="18"/>
                      <w:szCs w:val="18"/>
                    </w:rPr>
                    <w:t xml:space="preserve"> 元</w:t>
                  </w:r>
                </w:p>
              </w:tc>
              <w:tc>
                <w:tcPr>
                  <w:tcW w:w="1344" w:type="dxa"/>
                  <w:noWrap w:val="0"/>
                  <w:vAlign w:val="center"/>
                </w:tcPr>
                <w:p>
                  <w:pPr>
                    <w:spacing w:line="400" w:lineRule="exact"/>
                    <w:jc w:val="center"/>
                    <w:rPr>
                      <w:rFonts w:hint="eastAsia" w:ascii="宋体" w:hAnsi="宋体" w:eastAsia="宋体"/>
                      <w:sz w:val="18"/>
                      <w:szCs w:val="18"/>
                      <w:lang w:eastAsia="zh-CN"/>
                    </w:rPr>
                  </w:pPr>
                  <w:r>
                    <w:rPr>
                      <w:rFonts w:hint="eastAsia" w:ascii="宋体" w:hAnsi="宋体"/>
                      <w:sz w:val="18"/>
                      <w:szCs w:val="18"/>
                      <w:lang w:eastAsia="zh-CN"/>
                    </w:rPr>
                    <w:t>2020-09-01至2020-12-31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7" w:type="dxa"/>
                  <w:vMerge w:val="restart"/>
                  <w:noWrap w:val="0"/>
                  <w:vAlign w:val="center"/>
                </w:tcPr>
                <w:p>
                  <w:pPr>
                    <w:spacing w:line="400" w:lineRule="exact"/>
                    <w:jc w:val="center"/>
                    <w:rPr>
                      <w:rFonts w:hint="eastAsia" w:ascii="宋体" w:hAnsi="宋体"/>
                      <w:kern w:val="2"/>
                      <w:sz w:val="18"/>
                      <w:szCs w:val="18"/>
                      <w:lang w:val="en-US" w:eastAsia="zh-CN" w:bidi="ar-SA"/>
                    </w:rPr>
                  </w:pPr>
                  <w:r>
                    <w:rPr>
                      <w:rFonts w:hint="eastAsia" w:ascii="宋体" w:hAnsi="宋体"/>
                      <w:sz w:val="18"/>
                      <w:szCs w:val="18"/>
                      <w:lang w:eastAsia="zh-CN"/>
                    </w:rPr>
                    <w:t>意外伤害事故</w:t>
                  </w:r>
                </w:p>
              </w:tc>
              <w:tc>
                <w:tcPr>
                  <w:tcW w:w="1327" w:type="dxa"/>
                  <w:vMerge w:val="restart"/>
                  <w:noWrap w:val="0"/>
                  <w:vAlign w:val="center"/>
                </w:tcPr>
                <w:p>
                  <w:pPr>
                    <w:spacing w:line="400" w:lineRule="exact"/>
                    <w:jc w:val="center"/>
                    <w:rPr>
                      <w:rFonts w:hint="eastAsia" w:ascii="宋体" w:hAnsi="宋体" w:eastAsia="宋体"/>
                      <w:kern w:val="2"/>
                      <w:sz w:val="18"/>
                      <w:szCs w:val="18"/>
                      <w:lang w:val="en-US" w:eastAsia="zh-CN" w:bidi="ar-SA"/>
                    </w:rPr>
                  </w:pPr>
                  <w:r>
                    <w:rPr>
                      <w:rFonts w:hint="eastAsia" w:ascii="宋体" w:hAnsi="宋体" w:eastAsia="宋体"/>
                      <w:kern w:val="2"/>
                      <w:sz w:val="18"/>
                      <w:szCs w:val="18"/>
                      <w:lang w:val="en-US" w:eastAsia="zh-CN" w:bidi="ar-SA"/>
                    </w:rPr>
                    <w:t>意外伤害事故发生次数为0</w:t>
                  </w:r>
                </w:p>
              </w:tc>
              <w:tc>
                <w:tcPr>
                  <w:tcW w:w="986" w:type="dxa"/>
                  <w:noWrap w:val="0"/>
                  <w:vAlign w:val="center"/>
                </w:tcPr>
                <w:p>
                  <w:pPr>
                    <w:spacing w:line="400" w:lineRule="exact"/>
                    <w:jc w:val="center"/>
                    <w:rPr>
                      <w:rFonts w:hint="eastAsia" w:ascii="宋体" w:hAnsi="宋体"/>
                      <w:sz w:val="18"/>
                      <w:szCs w:val="18"/>
                    </w:rPr>
                  </w:pPr>
                  <w:r>
                    <w:rPr>
                      <w:rFonts w:hint="eastAsia" w:ascii="宋体" w:hAnsi="宋体"/>
                      <w:sz w:val="18"/>
                      <w:szCs w:val="18"/>
                    </w:rPr>
                    <w:t>办公室</w:t>
                  </w:r>
                </w:p>
              </w:tc>
              <w:tc>
                <w:tcPr>
                  <w:tcW w:w="3723" w:type="dxa"/>
                  <w:noWrap w:val="0"/>
                  <w:vAlign w:val="top"/>
                </w:tcPr>
                <w:p>
                  <w:pPr>
                    <w:spacing w:line="400" w:lineRule="exact"/>
                    <w:rPr>
                      <w:rFonts w:hint="eastAsia" w:ascii="宋体" w:hAnsi="宋体"/>
                      <w:sz w:val="18"/>
                      <w:szCs w:val="18"/>
                    </w:rPr>
                  </w:pPr>
                  <w:r>
                    <w:rPr>
                      <w:rFonts w:hint="eastAsia" w:ascii="宋体" w:hAnsi="宋体"/>
                      <w:sz w:val="18"/>
                      <w:szCs w:val="18"/>
                    </w:rPr>
                    <w:t>1.建立相关的管理制度，定期进行人员培训；</w:t>
                  </w:r>
                </w:p>
                <w:p>
                  <w:pPr>
                    <w:spacing w:line="400" w:lineRule="exact"/>
                    <w:rPr>
                      <w:rFonts w:hint="eastAsia" w:ascii="宋体" w:hAnsi="宋体"/>
                      <w:sz w:val="18"/>
                      <w:szCs w:val="18"/>
                    </w:rPr>
                  </w:pPr>
                  <w:r>
                    <w:rPr>
                      <w:rFonts w:hint="eastAsia" w:ascii="宋体" w:hAnsi="宋体"/>
                      <w:sz w:val="18"/>
                      <w:szCs w:val="18"/>
                    </w:rPr>
                    <w:t>2.定期对办公室电脑，打印机等电器进行检查确保运行良好；</w:t>
                  </w:r>
                </w:p>
                <w:p>
                  <w:pPr>
                    <w:spacing w:line="400" w:lineRule="exact"/>
                    <w:rPr>
                      <w:rFonts w:hint="eastAsia" w:ascii="宋体" w:hAnsi="宋体"/>
                      <w:sz w:val="18"/>
                      <w:szCs w:val="18"/>
                    </w:rPr>
                  </w:pPr>
                  <w:r>
                    <w:rPr>
                      <w:rFonts w:hint="eastAsia" w:ascii="宋体" w:hAnsi="宋体"/>
                      <w:sz w:val="18"/>
                      <w:szCs w:val="18"/>
                    </w:rPr>
                    <w:t>3.防止配电设备和用电未按要求管理或电器失灵造成的触电事故；</w:t>
                  </w:r>
                </w:p>
                <w:p>
                  <w:pPr>
                    <w:spacing w:line="400" w:lineRule="exact"/>
                    <w:rPr>
                      <w:rFonts w:hint="eastAsia" w:ascii="宋体" w:hAnsi="宋体"/>
                      <w:sz w:val="18"/>
                      <w:szCs w:val="18"/>
                    </w:rPr>
                  </w:pPr>
                  <w:r>
                    <w:rPr>
                      <w:rFonts w:hint="eastAsia" w:ascii="宋体" w:hAnsi="宋体"/>
                      <w:sz w:val="18"/>
                      <w:szCs w:val="18"/>
                    </w:rPr>
                    <w:t>3.定期对线路进行检查、维护，线路检查维护必须由有资质的人员进行，不得带电作业；</w:t>
                  </w:r>
                </w:p>
                <w:p>
                  <w:pPr>
                    <w:spacing w:line="400" w:lineRule="exact"/>
                    <w:rPr>
                      <w:rFonts w:hint="eastAsia" w:ascii="宋体" w:hAnsi="宋体"/>
                      <w:sz w:val="18"/>
                      <w:szCs w:val="18"/>
                    </w:rPr>
                  </w:pPr>
                  <w:r>
                    <w:rPr>
                      <w:rFonts w:hint="eastAsia" w:ascii="宋体" w:hAnsi="宋体"/>
                      <w:sz w:val="18"/>
                      <w:szCs w:val="18"/>
                    </w:rPr>
                    <w:t>4.定期进行触电抢救培训、演练。</w:t>
                  </w:r>
                </w:p>
                <w:p>
                  <w:pPr>
                    <w:spacing w:line="400" w:lineRule="exact"/>
                    <w:rPr>
                      <w:rFonts w:hint="eastAsia" w:ascii="宋体" w:hAnsi="宋体"/>
                      <w:sz w:val="18"/>
                      <w:szCs w:val="18"/>
                    </w:rPr>
                  </w:pPr>
                  <w:r>
                    <w:rPr>
                      <w:rFonts w:hint="eastAsia" w:ascii="宋体" w:hAnsi="宋体"/>
                      <w:sz w:val="18"/>
                      <w:szCs w:val="18"/>
                    </w:rPr>
                    <w:t>4.车辆定期检修。</w:t>
                  </w:r>
                </w:p>
              </w:tc>
              <w:tc>
                <w:tcPr>
                  <w:tcW w:w="868" w:type="dxa"/>
                  <w:noWrap w:val="0"/>
                  <w:vAlign w:val="center"/>
                </w:tcPr>
                <w:p>
                  <w:pPr>
                    <w:spacing w:line="400" w:lineRule="exact"/>
                    <w:jc w:val="center"/>
                    <w:rPr>
                      <w:rFonts w:hint="eastAsia" w:ascii="宋体" w:hAnsi="宋体"/>
                      <w:sz w:val="18"/>
                      <w:szCs w:val="18"/>
                    </w:rPr>
                  </w:pPr>
                  <w:r>
                    <w:rPr>
                      <w:rFonts w:hint="eastAsia" w:ascii="宋体" w:hAnsi="宋体"/>
                      <w:sz w:val="18"/>
                      <w:szCs w:val="18"/>
                    </w:rPr>
                    <w:t>各部门</w:t>
                  </w:r>
                </w:p>
              </w:tc>
              <w:tc>
                <w:tcPr>
                  <w:tcW w:w="902" w:type="dxa"/>
                  <w:noWrap w:val="0"/>
                  <w:vAlign w:val="center"/>
                </w:tcPr>
                <w:p>
                  <w:pPr>
                    <w:spacing w:line="400" w:lineRule="exact"/>
                    <w:jc w:val="center"/>
                    <w:rPr>
                      <w:rFonts w:hint="eastAsia" w:ascii="宋体" w:hAnsi="宋体" w:eastAsia="宋体"/>
                      <w:sz w:val="18"/>
                      <w:szCs w:val="18"/>
                      <w:lang w:eastAsia="zh-CN"/>
                    </w:rPr>
                  </w:pPr>
                  <w:r>
                    <w:rPr>
                      <w:rFonts w:hint="eastAsia" w:ascii="宋体" w:hAnsi="宋体"/>
                      <w:sz w:val="18"/>
                      <w:szCs w:val="18"/>
                      <w:lang w:eastAsia="zh-CN"/>
                    </w:rPr>
                    <w:t>刘娟娟</w:t>
                  </w:r>
                </w:p>
              </w:tc>
              <w:tc>
                <w:tcPr>
                  <w:tcW w:w="1095" w:type="dxa"/>
                  <w:noWrap w:val="0"/>
                  <w:vAlign w:val="center"/>
                </w:tcPr>
                <w:p>
                  <w:pPr>
                    <w:spacing w:line="400" w:lineRule="exact"/>
                    <w:jc w:val="center"/>
                    <w:rPr>
                      <w:rFonts w:hint="eastAsia" w:ascii="宋体" w:hAnsi="宋体"/>
                      <w:sz w:val="18"/>
                      <w:szCs w:val="18"/>
                    </w:rPr>
                  </w:pPr>
                  <w:r>
                    <w:rPr>
                      <w:rFonts w:hint="eastAsia" w:ascii="宋体" w:hAnsi="宋体"/>
                      <w:sz w:val="18"/>
                      <w:szCs w:val="18"/>
                      <w:lang w:val="en-US" w:eastAsia="zh-CN"/>
                    </w:rPr>
                    <w:t>850</w:t>
                  </w:r>
                  <w:r>
                    <w:rPr>
                      <w:rFonts w:hint="eastAsia" w:ascii="宋体" w:hAnsi="宋体"/>
                      <w:sz w:val="18"/>
                      <w:szCs w:val="18"/>
                    </w:rPr>
                    <w:t>元</w:t>
                  </w:r>
                </w:p>
              </w:tc>
              <w:tc>
                <w:tcPr>
                  <w:tcW w:w="1344" w:type="dxa"/>
                  <w:noWrap w:val="0"/>
                  <w:vAlign w:val="center"/>
                </w:tcPr>
                <w:p>
                  <w:pPr>
                    <w:spacing w:line="400" w:lineRule="exact"/>
                    <w:jc w:val="center"/>
                    <w:rPr>
                      <w:rFonts w:hint="eastAsia" w:ascii="宋体" w:hAnsi="宋体" w:eastAsia="宋体"/>
                      <w:sz w:val="18"/>
                      <w:szCs w:val="18"/>
                      <w:lang w:eastAsia="zh-CN"/>
                    </w:rPr>
                  </w:pPr>
                  <w:r>
                    <w:rPr>
                      <w:rFonts w:hint="eastAsia" w:ascii="宋体" w:hAnsi="宋体"/>
                      <w:sz w:val="18"/>
                      <w:szCs w:val="18"/>
                      <w:lang w:eastAsia="zh-CN"/>
                    </w:rPr>
                    <w:t>2020-09-01至2020-12-31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7" w:type="dxa"/>
                  <w:vMerge w:val="continue"/>
                  <w:noWrap w:val="0"/>
                  <w:vAlign w:val="center"/>
                </w:tcPr>
                <w:p>
                  <w:pPr>
                    <w:spacing w:line="400" w:lineRule="exact"/>
                    <w:jc w:val="center"/>
                    <w:rPr>
                      <w:rFonts w:hint="eastAsia" w:ascii="宋体" w:hAnsi="宋体"/>
                      <w:sz w:val="18"/>
                      <w:szCs w:val="18"/>
                      <w:lang w:eastAsia="zh-CN"/>
                    </w:rPr>
                  </w:pPr>
                </w:p>
              </w:tc>
              <w:tc>
                <w:tcPr>
                  <w:tcW w:w="1327" w:type="dxa"/>
                  <w:vMerge w:val="continue"/>
                  <w:noWrap w:val="0"/>
                  <w:vAlign w:val="center"/>
                </w:tcPr>
                <w:p>
                  <w:pPr>
                    <w:spacing w:line="400" w:lineRule="exact"/>
                    <w:jc w:val="center"/>
                    <w:rPr>
                      <w:rFonts w:hint="default" w:ascii="宋体" w:hAnsi="宋体" w:eastAsia="宋体"/>
                      <w:sz w:val="18"/>
                      <w:szCs w:val="18"/>
                      <w:lang w:val="en-US" w:eastAsia="zh-CN"/>
                    </w:rPr>
                  </w:pPr>
                </w:p>
              </w:tc>
              <w:tc>
                <w:tcPr>
                  <w:tcW w:w="986" w:type="dxa"/>
                  <w:noWrap w:val="0"/>
                  <w:vAlign w:val="center"/>
                </w:tcPr>
                <w:p>
                  <w:pPr>
                    <w:spacing w:line="400" w:lineRule="exact"/>
                    <w:jc w:val="center"/>
                    <w:rPr>
                      <w:rFonts w:hint="eastAsia" w:ascii="宋体" w:hAnsi="宋体"/>
                      <w:sz w:val="18"/>
                      <w:szCs w:val="18"/>
                    </w:rPr>
                  </w:pPr>
                </w:p>
              </w:tc>
              <w:tc>
                <w:tcPr>
                  <w:tcW w:w="3723" w:type="dxa"/>
                  <w:noWrap w:val="0"/>
                  <w:vAlign w:val="top"/>
                </w:tcPr>
                <w:p>
                  <w:pPr>
                    <w:spacing w:line="400" w:lineRule="exact"/>
                    <w:rPr>
                      <w:rFonts w:hint="eastAsia" w:ascii="宋体" w:hAnsi="宋体"/>
                      <w:sz w:val="18"/>
                      <w:szCs w:val="18"/>
                    </w:rPr>
                  </w:pPr>
                  <w:r>
                    <w:rPr>
                      <w:rFonts w:hint="eastAsia" w:ascii="宋体" w:hAnsi="宋体"/>
                      <w:sz w:val="18"/>
                      <w:szCs w:val="18"/>
                    </w:rPr>
                    <w:t>1.车辆驾驶人员必须取得相应资格，驾驶车辆时不得超速、疲劳、违章驾驶；</w:t>
                  </w:r>
                </w:p>
                <w:p>
                  <w:pPr>
                    <w:spacing w:line="400" w:lineRule="exact"/>
                    <w:rPr>
                      <w:rFonts w:hint="eastAsia" w:ascii="宋体" w:hAnsi="宋体"/>
                      <w:sz w:val="18"/>
                      <w:szCs w:val="18"/>
                    </w:rPr>
                  </w:pPr>
                  <w:r>
                    <w:rPr>
                      <w:rFonts w:hint="eastAsia" w:ascii="宋体" w:hAnsi="宋体"/>
                      <w:sz w:val="18"/>
                      <w:szCs w:val="18"/>
                    </w:rPr>
                    <w:t>2.定期进行交通法规培训，提高安全意识；</w:t>
                  </w:r>
                </w:p>
                <w:p>
                  <w:pPr>
                    <w:spacing w:line="400" w:lineRule="exact"/>
                    <w:rPr>
                      <w:rFonts w:hint="eastAsia" w:ascii="宋体" w:hAnsi="宋体"/>
                      <w:sz w:val="18"/>
                      <w:szCs w:val="18"/>
                    </w:rPr>
                  </w:pPr>
                  <w:r>
                    <w:rPr>
                      <w:rFonts w:hint="eastAsia" w:ascii="宋体" w:hAnsi="宋体"/>
                      <w:sz w:val="18"/>
                      <w:szCs w:val="18"/>
                    </w:rPr>
                    <w:t>3.员工外出乘车时，必须有运营资格的车辆，确保人身安全；</w:t>
                  </w:r>
                </w:p>
              </w:tc>
              <w:tc>
                <w:tcPr>
                  <w:tcW w:w="868" w:type="dxa"/>
                  <w:noWrap w:val="0"/>
                  <w:vAlign w:val="center"/>
                </w:tcPr>
                <w:p>
                  <w:pPr>
                    <w:spacing w:line="400" w:lineRule="exact"/>
                    <w:jc w:val="center"/>
                    <w:rPr>
                      <w:rFonts w:hint="eastAsia" w:ascii="宋体" w:hAnsi="宋体"/>
                      <w:kern w:val="2"/>
                      <w:sz w:val="18"/>
                      <w:szCs w:val="18"/>
                      <w:lang w:val="en-US" w:eastAsia="zh-CN" w:bidi="ar-SA"/>
                    </w:rPr>
                  </w:pPr>
                  <w:r>
                    <w:rPr>
                      <w:rFonts w:hint="eastAsia" w:ascii="宋体" w:hAnsi="宋体"/>
                      <w:sz w:val="18"/>
                      <w:szCs w:val="18"/>
                    </w:rPr>
                    <w:t>各部门</w:t>
                  </w:r>
                </w:p>
              </w:tc>
              <w:tc>
                <w:tcPr>
                  <w:tcW w:w="902" w:type="dxa"/>
                  <w:noWrap w:val="0"/>
                  <w:vAlign w:val="center"/>
                </w:tcPr>
                <w:p>
                  <w:pPr>
                    <w:spacing w:line="400" w:lineRule="exact"/>
                    <w:jc w:val="center"/>
                    <w:rPr>
                      <w:rFonts w:hint="eastAsia" w:ascii="宋体" w:hAnsi="宋体" w:eastAsia="宋体"/>
                      <w:kern w:val="2"/>
                      <w:sz w:val="18"/>
                      <w:szCs w:val="18"/>
                      <w:lang w:val="en-US" w:eastAsia="zh-CN" w:bidi="ar-SA"/>
                    </w:rPr>
                  </w:pPr>
                  <w:r>
                    <w:rPr>
                      <w:rFonts w:hint="eastAsia" w:ascii="宋体" w:hAnsi="宋体"/>
                      <w:sz w:val="18"/>
                      <w:szCs w:val="18"/>
                      <w:lang w:eastAsia="zh-CN"/>
                    </w:rPr>
                    <w:t>刘娟娟</w:t>
                  </w:r>
                </w:p>
              </w:tc>
              <w:tc>
                <w:tcPr>
                  <w:tcW w:w="1095" w:type="dxa"/>
                  <w:noWrap w:val="0"/>
                  <w:vAlign w:val="center"/>
                </w:tcPr>
                <w:p>
                  <w:pPr>
                    <w:spacing w:line="400" w:lineRule="exact"/>
                    <w:jc w:val="center"/>
                    <w:rPr>
                      <w:rFonts w:hint="eastAsia" w:ascii="宋体" w:hAnsi="宋体"/>
                      <w:kern w:val="2"/>
                      <w:sz w:val="18"/>
                      <w:szCs w:val="18"/>
                      <w:lang w:val="en-US" w:eastAsia="zh-CN" w:bidi="ar-SA"/>
                    </w:rPr>
                  </w:pPr>
                  <w:r>
                    <w:rPr>
                      <w:rFonts w:hint="eastAsia" w:ascii="宋体" w:hAnsi="宋体"/>
                      <w:sz w:val="18"/>
                      <w:szCs w:val="18"/>
                      <w:lang w:val="en-US" w:eastAsia="zh-CN"/>
                    </w:rPr>
                    <w:t>800</w:t>
                  </w:r>
                  <w:r>
                    <w:rPr>
                      <w:rFonts w:hint="eastAsia" w:ascii="宋体" w:hAnsi="宋体"/>
                      <w:sz w:val="18"/>
                      <w:szCs w:val="18"/>
                    </w:rPr>
                    <w:t>元</w:t>
                  </w:r>
                </w:p>
              </w:tc>
              <w:tc>
                <w:tcPr>
                  <w:tcW w:w="1344" w:type="dxa"/>
                  <w:noWrap w:val="0"/>
                  <w:vAlign w:val="center"/>
                </w:tcPr>
                <w:p>
                  <w:pPr>
                    <w:spacing w:line="400" w:lineRule="exact"/>
                    <w:jc w:val="center"/>
                    <w:rPr>
                      <w:rFonts w:hint="eastAsia" w:ascii="宋体" w:hAnsi="宋体" w:eastAsia="宋体"/>
                      <w:kern w:val="2"/>
                      <w:sz w:val="18"/>
                      <w:szCs w:val="18"/>
                      <w:lang w:val="en-US" w:eastAsia="zh-CN" w:bidi="ar-SA"/>
                    </w:rPr>
                  </w:pPr>
                  <w:r>
                    <w:rPr>
                      <w:rFonts w:hint="eastAsia" w:ascii="宋体" w:hAnsi="宋体"/>
                      <w:sz w:val="18"/>
                      <w:szCs w:val="18"/>
                      <w:lang w:eastAsia="zh-CN"/>
                    </w:rPr>
                    <w:t>2020-09-01至2020-12-31</w:t>
                  </w:r>
                </w:p>
              </w:tc>
            </w:tr>
          </w:tbl>
          <w:p>
            <w:pPr>
              <w:spacing w:line="360" w:lineRule="exact"/>
              <w:ind w:firstLine="240" w:firstLineChars="100"/>
              <w:rPr>
                <w:rFonts w:hint="eastAsia" w:ascii="宋体" w:hAnsi="宋体"/>
                <w:sz w:val="24"/>
                <w:szCs w:val="24"/>
              </w:rPr>
            </w:pPr>
          </w:p>
        </w:tc>
        <w:tc>
          <w:tcPr>
            <w:tcW w:w="823" w:type="dxa"/>
            <w:noWrap w:val="0"/>
            <w:vAlign w:val="top"/>
          </w:tcPr>
          <w:p>
            <w:pPr>
              <w:spacing w:line="360" w:lineRule="exact"/>
              <w:ind w:firstLine="210" w:firstLineChars="1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82" w:type="dxa"/>
            <w:noWrap w:val="0"/>
            <w:vAlign w:val="top"/>
          </w:tcPr>
          <w:p>
            <w:pPr>
              <w:rPr>
                <w:rFonts w:hint="eastAsia"/>
                <w:lang w:eastAsia="zh-CN"/>
              </w:rPr>
            </w:pPr>
            <w:r>
              <w:rPr>
                <w:rFonts w:hint="eastAsia"/>
                <w:lang w:eastAsia="zh-CN"/>
              </w:rPr>
              <w:t>产品和服务的运行策划和控制</w:t>
            </w:r>
          </w:p>
          <w:p>
            <w:pPr>
              <w:rPr>
                <w:rFonts w:hint="eastAsia" w:ascii="Times New Roman" w:hAnsi="Times New Roman" w:eastAsia="宋体" w:cs="Times New Roman"/>
                <w:kern w:val="2"/>
                <w:sz w:val="21"/>
                <w:lang w:val="en-US" w:eastAsia="zh-CN" w:bidi="ar-SA"/>
              </w:rPr>
            </w:pPr>
            <w:r>
              <w:rPr>
                <w:rFonts w:hint="eastAsia"/>
              </w:rPr>
              <w:t>需确认过程</w:t>
            </w:r>
          </w:p>
        </w:tc>
        <w:tc>
          <w:tcPr>
            <w:tcW w:w="1138" w:type="dxa"/>
            <w:noWrap w:val="0"/>
            <w:vAlign w:val="top"/>
          </w:tcPr>
          <w:p>
            <w:r>
              <w:rPr>
                <w:rFonts w:hint="eastAsia"/>
                <w:lang w:val="en-US" w:eastAsia="zh-CN"/>
              </w:rPr>
              <w:t>Q：8</w:t>
            </w:r>
            <w:r>
              <w:rPr>
                <w:rFonts w:hint="eastAsia"/>
              </w:rPr>
              <w:t>.1</w:t>
            </w:r>
          </w:p>
          <w:p>
            <w:pPr>
              <w:ind w:firstLine="210" w:firstLineChars="100"/>
              <w:rPr>
                <w:rFonts w:hint="eastAsia" w:ascii="Times New Roman" w:hAnsi="Times New Roman" w:eastAsia="宋体" w:cs="Times New Roman"/>
                <w:kern w:val="2"/>
                <w:sz w:val="21"/>
                <w:szCs w:val="21"/>
                <w:lang w:val="en-US" w:eastAsia="zh-CN" w:bidi="ar-SA"/>
              </w:rPr>
            </w:pPr>
            <w:r>
              <w:rPr>
                <w:rFonts w:hint="eastAsia"/>
                <w:lang w:val="en-US" w:eastAsia="zh-CN"/>
              </w:rPr>
              <w:t>8</w:t>
            </w:r>
            <w:r>
              <w:rPr>
                <w:rFonts w:hint="eastAsia"/>
              </w:rPr>
              <w:t>.5.</w:t>
            </w:r>
            <w:r>
              <w:rPr>
                <w:rFonts w:hint="eastAsia"/>
                <w:lang w:val="en-US" w:eastAsia="zh-CN"/>
              </w:rPr>
              <w:t>1</w:t>
            </w:r>
          </w:p>
        </w:tc>
        <w:tc>
          <w:tcPr>
            <w:tcW w:w="10766" w:type="dxa"/>
            <w:noWrap w:val="0"/>
            <w:vAlign w:val="top"/>
          </w:tcPr>
          <w:p>
            <w:pPr>
              <w:rPr>
                <w:rFonts w:hint="eastAsia"/>
              </w:rPr>
            </w:pPr>
            <w:r>
              <w:rPr>
                <w:rFonts w:hint="eastAsia"/>
                <w:lang w:eastAsia="zh-CN"/>
              </w:rPr>
              <w:t>建立了</w:t>
            </w:r>
            <w:r>
              <w:rPr>
                <w:rFonts w:hint="eastAsia"/>
              </w:rPr>
              <w:t>质量目标</w:t>
            </w:r>
          </w:p>
          <w:p>
            <w:pPr>
              <w:keepNext w:val="0"/>
              <w:keepLines w:val="0"/>
              <w:pageBreakBefore w:val="0"/>
              <w:kinsoku/>
              <w:wordWrap/>
              <w:overflowPunct/>
              <w:topLinePunct w:val="0"/>
              <w:autoSpaceDE/>
              <w:autoSpaceDN/>
              <w:bidi w:val="0"/>
              <w:adjustRightInd/>
              <w:snapToGrid/>
              <w:spacing w:line="360" w:lineRule="exact"/>
              <w:textAlignment w:val="auto"/>
              <w:rPr>
                <w:rFonts w:hint="default"/>
                <w:lang w:eastAsia="zh-CN"/>
              </w:rPr>
            </w:pPr>
            <w:r>
              <w:rPr>
                <w:rFonts w:hint="eastAsia"/>
              </w:rPr>
              <w:t>收集的相关法律法规、技术标准：产品质量法、</w:t>
            </w:r>
            <w:r>
              <w:rPr>
                <w:rFonts w:hint="eastAsia"/>
                <w:lang w:val="en-US" w:eastAsia="zh-CN"/>
              </w:rPr>
              <w:t>安全生产</w:t>
            </w:r>
            <w:r>
              <w:rPr>
                <w:rFonts w:hint="eastAsia"/>
              </w:rPr>
              <w:t>法</w:t>
            </w:r>
            <w:r>
              <w:rPr>
                <w:rFonts w:hint="eastAsia"/>
                <w:lang w:eastAsia="zh-CN"/>
              </w:rPr>
              <w:t>、</w:t>
            </w:r>
            <w:r>
              <w:rPr>
                <w:rFonts w:hint="eastAsia" w:ascii="宋体" w:hAnsi="宋体" w:cs="宋体"/>
                <w:szCs w:val="21"/>
              </w:rPr>
              <w:t>GB/T 35320-2017《危险与可操作性分析应用指南》、AQ/T3049-2013《危险与可操作性分析（HAZOP 分析）应用导则》</w:t>
            </w:r>
            <w:r>
              <w:rPr>
                <w:rFonts w:hint="eastAsia" w:ascii="宋体" w:hAnsi="宋体" w:cs="宋体"/>
                <w:szCs w:val="21"/>
                <w:lang w:eastAsia="zh-CN"/>
              </w:rPr>
              <w:t>、</w:t>
            </w:r>
            <w:r>
              <w:rPr>
                <w:rFonts w:hint="eastAsia" w:ascii="宋体" w:hAnsi="宋体" w:cs="宋体"/>
                <w:szCs w:val="21"/>
              </w:rPr>
              <w:t>AQ/T3033-2010《化工建设项目安全设计管理导则》</w:t>
            </w:r>
            <w:r>
              <w:rPr>
                <w:rFonts w:hint="eastAsia" w:ascii="宋体" w:hAnsi="宋体" w:cs="宋体"/>
                <w:szCs w:val="21"/>
                <w:lang w:eastAsia="zh-CN"/>
              </w:rPr>
              <w:t>、</w:t>
            </w:r>
            <w:r>
              <w:rPr>
                <w:rFonts w:hint="eastAsia" w:ascii="宋体" w:hAnsi="宋体" w:cs="宋体"/>
                <w:szCs w:val="21"/>
              </w:rPr>
              <w:t>AQ/T3034-2010《化工企业工艺安全管理实施导则》</w:t>
            </w:r>
            <w:r>
              <w:rPr>
                <w:rFonts w:hint="default"/>
              </w:rPr>
              <w:t>等</w:t>
            </w:r>
            <w:r>
              <w:rPr>
                <w:rFonts w:hint="default"/>
                <w:lang w:eastAsia="zh-CN"/>
              </w:rPr>
              <w:t>，</w:t>
            </w:r>
            <w:r>
              <w:rPr>
                <w:rFonts w:hint="default"/>
              </w:rPr>
              <w:t>经常网上查阅、及时与顾客沟通确保最新版</w:t>
            </w:r>
          </w:p>
          <w:p>
            <w:pPr>
              <w:rPr>
                <w:rFonts w:hint="eastAsia" w:ascii="Times New Roman" w:hAnsi="Times New Roman" w:cs="Times New Roman"/>
                <w:szCs w:val="22"/>
                <w:lang w:eastAsia="zh-CN"/>
              </w:rPr>
            </w:pPr>
            <w:r>
              <w:rPr>
                <w:rFonts w:hint="eastAsia" w:ascii="Times New Roman" w:hAnsi="Times New Roman" w:cs="Times New Roman"/>
                <w:szCs w:val="22"/>
                <w:lang w:eastAsia="zh-CN"/>
              </w:rPr>
              <w:t>询问了解的产品和服务实现流程为：</w:t>
            </w:r>
          </w:p>
          <w:p>
            <w:pPr>
              <w:rPr>
                <w:rFonts w:hint="eastAsia" w:ascii="Times New Roman" w:hAnsi="Times New Roman" w:cs="Times New Roman"/>
                <w:szCs w:val="22"/>
                <w:lang w:eastAsia="zh-CN"/>
              </w:rPr>
            </w:pPr>
            <w:bookmarkStart w:id="1" w:name="_GoBack"/>
            <w:r>
              <w:rPr>
                <w:rFonts w:hint="eastAsia" w:ascii="宋体" w:hAnsi="宋体" w:cs="Times New Roman"/>
                <w:color w:val="000000"/>
                <w:sz w:val="20"/>
                <w:szCs w:val="20"/>
                <w:lang w:val="en-US" w:eastAsia="zh-CN"/>
              </w:rPr>
              <w:t>业务洽谈—签订合同—收集资料—评价分析—编制报告—报告校核批准—打印存档—报告发送</w:t>
            </w:r>
          </w:p>
          <w:bookmarkEnd w:id="1"/>
          <w:p>
            <w:pPr>
              <w:rPr>
                <w:rFonts w:hint="eastAsia"/>
              </w:rPr>
            </w:pPr>
            <w:r>
              <w:rPr>
                <w:rFonts w:hint="eastAsia"/>
              </w:rPr>
              <w:t>规定了产品</w:t>
            </w:r>
            <w:r>
              <w:rPr>
                <w:rFonts w:hint="eastAsia"/>
                <w:lang w:eastAsia="zh-CN"/>
              </w:rPr>
              <w:t>和服务</w:t>
            </w:r>
            <w:r>
              <w:rPr>
                <w:rFonts w:hint="eastAsia"/>
              </w:rPr>
              <w:t>实现所需的设备设施、人员、检测设备等资源要求</w:t>
            </w:r>
          </w:p>
          <w:p>
            <w:pPr>
              <w:rPr>
                <w:rFonts w:hint="eastAsia"/>
                <w:lang w:eastAsia="zh-CN"/>
              </w:rPr>
            </w:pPr>
            <w:r>
              <w:rPr>
                <w:rFonts w:hint="eastAsia"/>
                <w:lang w:eastAsia="zh-CN"/>
              </w:rPr>
              <w:t>编制了</w:t>
            </w:r>
            <w:r>
              <w:rPr>
                <w:rFonts w:hint="eastAsia" w:eastAsia="宋体"/>
                <w:szCs w:val="22"/>
              </w:rPr>
              <w:t>岗位职责与任职要求</w:t>
            </w:r>
            <w:r>
              <w:rPr>
                <w:rFonts w:hint="eastAsia" w:eastAsia="宋体"/>
                <w:szCs w:val="22"/>
                <w:lang w:eastAsia="zh-CN"/>
              </w:rPr>
              <w:t>、</w:t>
            </w:r>
            <w:r>
              <w:rPr>
                <w:rFonts w:hint="eastAsia" w:eastAsia="宋体"/>
                <w:szCs w:val="22"/>
              </w:rPr>
              <w:t>员工行为规范</w:t>
            </w:r>
            <w:r>
              <w:rPr>
                <w:rFonts w:hint="eastAsia" w:eastAsia="宋体"/>
                <w:szCs w:val="22"/>
                <w:lang w:eastAsia="zh-CN"/>
              </w:rPr>
              <w:t>、</w:t>
            </w:r>
            <w:r>
              <w:rPr>
                <w:rFonts w:hint="eastAsia" w:eastAsia="宋体"/>
                <w:szCs w:val="22"/>
              </w:rPr>
              <w:t>采购产品检验制度</w:t>
            </w:r>
            <w:r>
              <w:rPr>
                <w:rFonts w:hint="eastAsia" w:eastAsia="宋体"/>
                <w:szCs w:val="22"/>
                <w:lang w:eastAsia="zh-CN"/>
              </w:rPr>
              <w:t>、</w:t>
            </w:r>
            <w:r>
              <w:rPr>
                <w:rFonts w:hint="eastAsia" w:eastAsia="宋体"/>
                <w:szCs w:val="22"/>
              </w:rPr>
              <w:t>销售人员服务指南</w:t>
            </w:r>
            <w:r>
              <w:rPr>
                <w:rFonts w:hint="eastAsia" w:eastAsia="宋体"/>
                <w:szCs w:val="22"/>
                <w:lang w:eastAsia="zh-CN"/>
              </w:rPr>
              <w:t>、</w:t>
            </w:r>
            <w:r>
              <w:rPr>
                <w:rFonts w:hint="eastAsia" w:eastAsia="宋体"/>
                <w:szCs w:val="22"/>
              </w:rPr>
              <w:t>销售人员考核与奖惩办法</w:t>
            </w:r>
            <w:r>
              <w:rPr>
                <w:rFonts w:hint="eastAsia"/>
                <w:lang w:eastAsia="zh-CN"/>
              </w:rPr>
              <w:t>等文件</w:t>
            </w:r>
          </w:p>
          <w:p>
            <w:pPr>
              <w:rPr>
                <w:rFonts w:hint="eastAsia" w:ascii="Times New Roman" w:hAnsi="Times New Roman" w:eastAsia="宋体" w:cs="Times New Roman"/>
                <w:kern w:val="2"/>
                <w:sz w:val="21"/>
                <w:lang w:val="en-US" w:eastAsia="zh-CN" w:bidi="ar-SA"/>
              </w:rPr>
            </w:pPr>
            <w:r>
              <w:rPr>
                <w:rFonts w:hint="eastAsia"/>
                <w:u w:val="none"/>
              </w:rPr>
              <w:t>需确</w:t>
            </w:r>
            <w:r>
              <w:rPr>
                <w:rFonts w:hint="eastAsia"/>
                <w:u w:val="none"/>
                <w:lang w:eastAsia="zh-CN"/>
              </w:rPr>
              <w:t>认</w:t>
            </w:r>
            <w:r>
              <w:rPr>
                <w:rFonts w:hint="eastAsia"/>
                <w:u w:val="none"/>
              </w:rPr>
              <w:t>过程</w:t>
            </w:r>
            <w:r>
              <w:rPr>
                <w:rFonts w:hint="eastAsia"/>
                <w:u w:val="none"/>
                <w:lang w:eastAsia="zh-CN"/>
              </w:rPr>
              <w:t>：</w:t>
            </w:r>
            <w:r>
              <w:rPr>
                <w:rFonts w:hint="eastAsia" w:ascii="宋体" w:hAnsi="宋体"/>
                <w:color w:val="000000"/>
                <w:sz w:val="20"/>
                <w:szCs w:val="20"/>
                <w:u w:val="none"/>
                <w:lang w:val="en-US" w:eastAsia="zh-CN"/>
              </w:rPr>
              <w:t>咨询、评估服务</w:t>
            </w:r>
            <w:r>
              <w:rPr>
                <w:rFonts w:hint="eastAsia"/>
                <w:u w:val="none"/>
                <w:lang w:val="en-US" w:eastAsia="zh-CN"/>
              </w:rPr>
              <w:t>。</w:t>
            </w:r>
          </w:p>
        </w:tc>
        <w:tc>
          <w:tcPr>
            <w:tcW w:w="823" w:type="dxa"/>
            <w:noWrap w:val="0"/>
            <w:vAlign w:val="top"/>
          </w:tcPr>
          <w:p>
            <w:pPr>
              <w:spacing w:line="360" w:lineRule="exact"/>
              <w:ind w:firstLine="210" w:firstLineChars="1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82" w:type="dxa"/>
            <w:noWrap w:val="0"/>
            <w:vAlign w:val="top"/>
          </w:tcPr>
          <w:p>
            <w:pPr>
              <w:rPr>
                <w:rFonts w:hint="eastAsia" w:ascii="Times New Roman" w:hAnsi="Times New Roman" w:eastAsia="宋体" w:cs="Times New Roman"/>
                <w:kern w:val="2"/>
                <w:sz w:val="21"/>
                <w:lang w:val="en-US" w:eastAsia="zh-CN" w:bidi="ar-SA"/>
              </w:rPr>
            </w:pPr>
            <w:r>
              <w:rPr>
                <w:rFonts w:hint="eastAsia"/>
                <w:lang w:eastAsia="zh-CN"/>
              </w:rPr>
              <w:t>应急准备和响应</w:t>
            </w:r>
          </w:p>
        </w:tc>
        <w:tc>
          <w:tcPr>
            <w:tcW w:w="1138" w:type="dxa"/>
            <w:noWrap w:val="0"/>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cs="Times New Roman"/>
                <w:kern w:val="2"/>
                <w:sz w:val="21"/>
                <w:lang w:val="en-US" w:eastAsia="zh-CN" w:bidi="ar-SA"/>
              </w:rPr>
              <w:t>EO8.2</w:t>
            </w:r>
          </w:p>
        </w:tc>
        <w:tc>
          <w:tcPr>
            <w:tcW w:w="10766" w:type="dxa"/>
            <w:noWrap w:val="0"/>
            <w:vAlign w:val="top"/>
          </w:tcPr>
          <w:p>
            <w:pPr>
              <w:rPr>
                <w:rFonts w:hint="eastAsia"/>
                <w:sz w:val="21"/>
                <w:szCs w:val="21"/>
              </w:rPr>
            </w:pPr>
            <w:r>
              <w:rPr>
                <w:rFonts w:hint="eastAsia"/>
                <w:sz w:val="21"/>
                <w:szCs w:val="21"/>
              </w:rPr>
              <w:t>策划了《应急准备和响应控制程序》</w:t>
            </w:r>
          </w:p>
          <w:p>
            <w:pPr>
              <w:rPr>
                <w:rFonts w:hint="eastAsia" w:ascii="Times New Roman" w:hAnsi="Times New Roman" w:eastAsia="宋体" w:cs="Times New Roman"/>
                <w:kern w:val="2"/>
                <w:sz w:val="21"/>
                <w:lang w:val="en-US" w:eastAsia="zh-CN" w:bidi="ar-SA"/>
              </w:rPr>
            </w:pPr>
            <w:r>
              <w:rPr>
                <w:rFonts w:hint="eastAsia"/>
                <w:sz w:val="21"/>
                <w:szCs w:val="21"/>
              </w:rPr>
              <w:t>提供应急预案：</w:t>
            </w:r>
            <w:r>
              <w:rPr>
                <w:rFonts w:hint="eastAsia" w:cs="宋体"/>
              </w:rPr>
              <w:t>《火灾应急预案》</w:t>
            </w:r>
            <w:r>
              <w:rPr>
                <w:rFonts w:hint="eastAsia" w:cs="宋体"/>
                <w:lang w:eastAsia="zh-CN"/>
              </w:rPr>
              <w:t>《</w:t>
            </w:r>
            <w:r>
              <w:rPr>
                <w:rFonts w:hint="eastAsia" w:cs="宋体"/>
              </w:rPr>
              <w:t>应对新冠状病毒疫情防控工作应急预案</w:t>
            </w:r>
            <w:r>
              <w:rPr>
                <w:rFonts w:hint="eastAsia" w:cs="宋体"/>
                <w:lang w:eastAsia="zh-CN"/>
              </w:rPr>
              <w:t>》</w:t>
            </w:r>
          </w:p>
        </w:tc>
        <w:tc>
          <w:tcPr>
            <w:tcW w:w="823" w:type="dxa"/>
            <w:noWrap w:val="0"/>
            <w:vAlign w:val="top"/>
          </w:tcPr>
          <w:p>
            <w:pPr>
              <w:spacing w:line="360" w:lineRule="exact"/>
              <w:ind w:firstLine="210" w:firstLineChars="100"/>
              <w:rPr>
                <w:rFonts w:hint="eastAsia" w:ascii="宋体" w:hAnsi="宋体" w:cs="宋体"/>
                <w:szCs w:val="21"/>
              </w:rPr>
            </w:pPr>
          </w:p>
        </w:tc>
      </w:tr>
    </w:tbl>
    <w:p>
      <w:pPr>
        <w:pStyle w:val="7"/>
        <w:rPr>
          <w:rFonts w:ascii="楷体" w:hAnsi="楷体" w:eastAsia="楷体"/>
          <w:sz w:val="21"/>
          <w:szCs w:val="21"/>
        </w:rPr>
      </w:pPr>
      <w:r>
        <w:rPr>
          <w:rFonts w:hint="eastAsia" w:ascii="楷体" w:hAnsi="楷体" w:eastAsia="楷体"/>
          <w:sz w:val="21"/>
          <w:szCs w:val="21"/>
        </w:rPr>
        <w:t>说明：不符合标注N</w:t>
      </w:r>
    </w:p>
    <w:p>
      <w:pPr>
        <w:pStyle w:val="7"/>
        <w:rPr>
          <w:rFonts w:ascii="楷体" w:hAnsi="楷体" w:eastAsia="楷体"/>
          <w:sz w:val="21"/>
          <w:szCs w:val="21"/>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2"/>
      <w:pBdr>
        <w:bottom w:val="none" w:color="auto" w:sz="0" w:space="0"/>
      </w:pBdr>
      <w:spacing w:line="320" w:lineRule="exact"/>
      <w:ind w:firstLine="720" w:firstLineChars="400"/>
      <w:jc w:val="left"/>
    </w:pPr>
    <w:r>
      <w:pict>
        <v:shape id="_x0000_s1025" o:spid="_x0000_s1025"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6"/>
        <w:rFonts w:hint="default"/>
        <w:w w:val="90"/>
      </w:rPr>
      <w:t>Beijing International Standard united Certification Co.,Ltd.</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7E0B8"/>
    <w:multiLevelType w:val="singleLevel"/>
    <w:tmpl w:val="5517E0B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03F53"/>
    <w:rsid w:val="000102DE"/>
    <w:rsid w:val="000259D8"/>
    <w:rsid w:val="000316AD"/>
    <w:rsid w:val="0005011D"/>
    <w:rsid w:val="0005375F"/>
    <w:rsid w:val="00055009"/>
    <w:rsid w:val="00063F5A"/>
    <w:rsid w:val="00067B35"/>
    <w:rsid w:val="00081DAA"/>
    <w:rsid w:val="00096CD9"/>
    <w:rsid w:val="000A0B00"/>
    <w:rsid w:val="000C4FCC"/>
    <w:rsid w:val="000D0289"/>
    <w:rsid w:val="000D5591"/>
    <w:rsid w:val="000D6187"/>
    <w:rsid w:val="000E392E"/>
    <w:rsid w:val="000F4594"/>
    <w:rsid w:val="001131B2"/>
    <w:rsid w:val="0012740B"/>
    <w:rsid w:val="00134509"/>
    <w:rsid w:val="00145FD6"/>
    <w:rsid w:val="00183124"/>
    <w:rsid w:val="001A0448"/>
    <w:rsid w:val="001A3E19"/>
    <w:rsid w:val="001B625D"/>
    <w:rsid w:val="00242652"/>
    <w:rsid w:val="00247A1A"/>
    <w:rsid w:val="002679C2"/>
    <w:rsid w:val="00270DFB"/>
    <w:rsid w:val="00280729"/>
    <w:rsid w:val="00294ACD"/>
    <w:rsid w:val="00314638"/>
    <w:rsid w:val="003149EB"/>
    <w:rsid w:val="00323081"/>
    <w:rsid w:val="00326600"/>
    <w:rsid w:val="0033099B"/>
    <w:rsid w:val="00343C48"/>
    <w:rsid w:val="0035120E"/>
    <w:rsid w:val="00353E04"/>
    <w:rsid w:val="00354C46"/>
    <w:rsid w:val="00356D5A"/>
    <w:rsid w:val="003C7A2A"/>
    <w:rsid w:val="003D1771"/>
    <w:rsid w:val="003D7DA9"/>
    <w:rsid w:val="003E3EC1"/>
    <w:rsid w:val="00412BAA"/>
    <w:rsid w:val="00431D26"/>
    <w:rsid w:val="0045719F"/>
    <w:rsid w:val="00460C2C"/>
    <w:rsid w:val="00491A05"/>
    <w:rsid w:val="004D4E37"/>
    <w:rsid w:val="00503F53"/>
    <w:rsid w:val="005135E3"/>
    <w:rsid w:val="00522555"/>
    <w:rsid w:val="00567D8D"/>
    <w:rsid w:val="005709AF"/>
    <w:rsid w:val="0057598F"/>
    <w:rsid w:val="005877E1"/>
    <w:rsid w:val="005A248D"/>
    <w:rsid w:val="005B2E43"/>
    <w:rsid w:val="005B409D"/>
    <w:rsid w:val="005D4DE8"/>
    <w:rsid w:val="005D6F41"/>
    <w:rsid w:val="00615C1A"/>
    <w:rsid w:val="00625BE6"/>
    <w:rsid w:val="0063030E"/>
    <w:rsid w:val="00632D1A"/>
    <w:rsid w:val="006620F7"/>
    <w:rsid w:val="00671C1E"/>
    <w:rsid w:val="00675D0F"/>
    <w:rsid w:val="006763C6"/>
    <w:rsid w:val="006868D8"/>
    <w:rsid w:val="00690DCB"/>
    <w:rsid w:val="00692B55"/>
    <w:rsid w:val="00696572"/>
    <w:rsid w:val="006B5959"/>
    <w:rsid w:val="006F7A36"/>
    <w:rsid w:val="007541F1"/>
    <w:rsid w:val="00795BF0"/>
    <w:rsid w:val="007A57DD"/>
    <w:rsid w:val="007D097E"/>
    <w:rsid w:val="007D538B"/>
    <w:rsid w:val="007E0CF4"/>
    <w:rsid w:val="00837983"/>
    <w:rsid w:val="00842754"/>
    <w:rsid w:val="008521EE"/>
    <w:rsid w:val="00854203"/>
    <w:rsid w:val="00870188"/>
    <w:rsid w:val="008911C3"/>
    <w:rsid w:val="00896D74"/>
    <w:rsid w:val="008A3E69"/>
    <w:rsid w:val="008A65DA"/>
    <w:rsid w:val="008C5BAD"/>
    <w:rsid w:val="008D636C"/>
    <w:rsid w:val="008E7390"/>
    <w:rsid w:val="008F42C1"/>
    <w:rsid w:val="008F498B"/>
    <w:rsid w:val="00935F38"/>
    <w:rsid w:val="00967343"/>
    <w:rsid w:val="009812F1"/>
    <w:rsid w:val="009A6CE9"/>
    <w:rsid w:val="009B5A45"/>
    <w:rsid w:val="009B653A"/>
    <w:rsid w:val="009F78A7"/>
    <w:rsid w:val="00A22135"/>
    <w:rsid w:val="00A271E8"/>
    <w:rsid w:val="00A3119F"/>
    <w:rsid w:val="00A516A3"/>
    <w:rsid w:val="00A610E9"/>
    <w:rsid w:val="00A618EA"/>
    <w:rsid w:val="00A7140F"/>
    <w:rsid w:val="00A864CB"/>
    <w:rsid w:val="00A92156"/>
    <w:rsid w:val="00AC62C1"/>
    <w:rsid w:val="00AD6C07"/>
    <w:rsid w:val="00AD769A"/>
    <w:rsid w:val="00B01275"/>
    <w:rsid w:val="00B0234F"/>
    <w:rsid w:val="00B04449"/>
    <w:rsid w:val="00B10C1F"/>
    <w:rsid w:val="00B32220"/>
    <w:rsid w:val="00B50862"/>
    <w:rsid w:val="00B5668E"/>
    <w:rsid w:val="00B95FEE"/>
    <w:rsid w:val="00B97EB8"/>
    <w:rsid w:val="00BB12A6"/>
    <w:rsid w:val="00BC7189"/>
    <w:rsid w:val="00BC768A"/>
    <w:rsid w:val="00BE5F99"/>
    <w:rsid w:val="00BF2E0E"/>
    <w:rsid w:val="00C05282"/>
    <w:rsid w:val="00C113B3"/>
    <w:rsid w:val="00C1748F"/>
    <w:rsid w:val="00C605A8"/>
    <w:rsid w:val="00C773D3"/>
    <w:rsid w:val="00C77AB9"/>
    <w:rsid w:val="00C85143"/>
    <w:rsid w:val="00CA736C"/>
    <w:rsid w:val="00CA7E36"/>
    <w:rsid w:val="00CC6808"/>
    <w:rsid w:val="00CE6B72"/>
    <w:rsid w:val="00CE7035"/>
    <w:rsid w:val="00CF5CDC"/>
    <w:rsid w:val="00D14D7F"/>
    <w:rsid w:val="00D453FD"/>
    <w:rsid w:val="00D524FF"/>
    <w:rsid w:val="00D62600"/>
    <w:rsid w:val="00D7005D"/>
    <w:rsid w:val="00D77C79"/>
    <w:rsid w:val="00D840C9"/>
    <w:rsid w:val="00DA4423"/>
    <w:rsid w:val="00DC27A4"/>
    <w:rsid w:val="00DD120F"/>
    <w:rsid w:val="00DD48CF"/>
    <w:rsid w:val="00DD6CE4"/>
    <w:rsid w:val="00DE3864"/>
    <w:rsid w:val="00DF12D0"/>
    <w:rsid w:val="00E1657B"/>
    <w:rsid w:val="00E22AF8"/>
    <w:rsid w:val="00E22D31"/>
    <w:rsid w:val="00E25B09"/>
    <w:rsid w:val="00E3020D"/>
    <w:rsid w:val="00E37B70"/>
    <w:rsid w:val="00E41198"/>
    <w:rsid w:val="00E41A5E"/>
    <w:rsid w:val="00E42992"/>
    <w:rsid w:val="00E44C78"/>
    <w:rsid w:val="00E513C3"/>
    <w:rsid w:val="00E91179"/>
    <w:rsid w:val="00EA5E64"/>
    <w:rsid w:val="00EB00E1"/>
    <w:rsid w:val="00EC1118"/>
    <w:rsid w:val="00F0397C"/>
    <w:rsid w:val="00F0796E"/>
    <w:rsid w:val="00F24D01"/>
    <w:rsid w:val="00F30B3E"/>
    <w:rsid w:val="00F379DD"/>
    <w:rsid w:val="00F53900"/>
    <w:rsid w:val="00F55841"/>
    <w:rsid w:val="00F567BB"/>
    <w:rsid w:val="00F56D72"/>
    <w:rsid w:val="00F821A0"/>
    <w:rsid w:val="00F9307A"/>
    <w:rsid w:val="00F95887"/>
    <w:rsid w:val="00FD5709"/>
    <w:rsid w:val="00FD76F9"/>
    <w:rsid w:val="00FE5B42"/>
    <w:rsid w:val="00FF0572"/>
    <w:rsid w:val="00FF4B6B"/>
    <w:rsid w:val="059C1506"/>
    <w:rsid w:val="1653535E"/>
    <w:rsid w:val="17A37CB0"/>
    <w:rsid w:val="19FF2BA2"/>
    <w:rsid w:val="1F9A468B"/>
    <w:rsid w:val="26975EF6"/>
    <w:rsid w:val="29B059D4"/>
    <w:rsid w:val="2A8956CB"/>
    <w:rsid w:val="2D6E37C8"/>
    <w:rsid w:val="2E2212BD"/>
    <w:rsid w:val="31933007"/>
    <w:rsid w:val="3A6911B7"/>
    <w:rsid w:val="40F5568C"/>
    <w:rsid w:val="44631D9B"/>
    <w:rsid w:val="4B017EDB"/>
    <w:rsid w:val="4CB91B84"/>
    <w:rsid w:val="54AE6361"/>
    <w:rsid w:val="58277BFD"/>
    <w:rsid w:val="59681662"/>
    <w:rsid w:val="59C03B05"/>
    <w:rsid w:val="63045D14"/>
    <w:rsid w:val="63261E36"/>
    <w:rsid w:val="693A7868"/>
    <w:rsid w:val="6B4C5F70"/>
    <w:rsid w:val="6B98139B"/>
    <w:rsid w:val="72CE27A3"/>
    <w:rsid w:val="72FE232F"/>
    <w:rsid w:val="7BA846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link w:val="20"/>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Indent"/>
    <w:basedOn w:val="1"/>
    <w:qFormat/>
    <w:uiPriority w:val="0"/>
    <w:pPr>
      <w:ind w:firstLine="280" w:firstLineChars="100"/>
    </w:pPr>
    <w:rPr>
      <w:sz w:val="28"/>
    </w:rPr>
  </w:style>
  <w:style w:type="paragraph" w:styleId="5">
    <w:name w:val="Plain Text"/>
    <w:basedOn w:val="1"/>
    <w:link w:val="19"/>
    <w:qFormat/>
    <w:uiPriority w:val="0"/>
    <w:pPr>
      <w:spacing w:line="360" w:lineRule="auto"/>
      <w:ind w:left="200" w:leftChars="200"/>
    </w:pPr>
    <w:rPr>
      <w:rFonts w:ascii="宋体" w:hAnsi="Courier New" w:cs="Courier New" w:eastAsiaTheme="minorEastAsia"/>
      <w:sz w:val="24"/>
      <w:szCs w:val="21"/>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customStyle="1" w:styleId="11">
    <w:name w:val="表格文字"/>
    <w:basedOn w:val="1"/>
    <w:qFormat/>
    <w:uiPriority w:val="0"/>
    <w:pPr>
      <w:spacing w:before="25" w:after="25"/>
    </w:pPr>
    <w:rPr>
      <w:bCs/>
      <w:spacing w:val="10"/>
    </w:rPr>
  </w:style>
  <w:style w:type="paragraph" w:customStyle="1" w:styleId="12">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character" w:customStyle="1" w:styleId="13">
    <w:name w:val="页眉 Char"/>
    <w:basedOn w:val="10"/>
    <w:link w:val="2"/>
    <w:qFormat/>
    <w:uiPriority w:val="99"/>
    <w:rPr>
      <w:rFonts w:ascii="Times New Roman" w:hAnsi="Times New Roman" w:eastAsia="宋体" w:cs="Times New Roman"/>
      <w:sz w:val="18"/>
      <w:szCs w:val="18"/>
    </w:rPr>
  </w:style>
  <w:style w:type="character" w:customStyle="1" w:styleId="14">
    <w:name w:val="页脚 Char"/>
    <w:basedOn w:val="10"/>
    <w:link w:val="7"/>
    <w:qFormat/>
    <w:uiPriority w:val="99"/>
    <w:rPr>
      <w:rFonts w:ascii="Times New Roman" w:hAnsi="Times New Roman" w:eastAsia="宋体" w:cs="Times New Roman"/>
      <w:sz w:val="18"/>
      <w:szCs w:val="18"/>
    </w:rPr>
  </w:style>
  <w:style w:type="character" w:customStyle="1" w:styleId="15">
    <w:name w:val="批注框文本 Char"/>
    <w:basedOn w:val="10"/>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qFormat/>
    <w:uiPriority w:val="99"/>
    <w:pPr>
      <w:ind w:firstLine="420" w:firstLineChars="200"/>
    </w:pPr>
  </w:style>
  <w:style w:type="character" w:customStyle="1" w:styleId="18">
    <w:name w:val="纯文本 Char"/>
    <w:link w:val="5"/>
    <w:qFormat/>
    <w:uiPriority w:val="0"/>
    <w:rPr>
      <w:rFonts w:ascii="宋体" w:hAnsi="Courier New" w:cs="Courier New"/>
      <w:kern w:val="2"/>
      <w:sz w:val="24"/>
      <w:szCs w:val="21"/>
    </w:rPr>
  </w:style>
  <w:style w:type="character" w:customStyle="1" w:styleId="19">
    <w:name w:val="纯文本 Char1"/>
    <w:basedOn w:val="10"/>
    <w:link w:val="5"/>
    <w:semiHidden/>
    <w:qFormat/>
    <w:uiPriority w:val="99"/>
    <w:rPr>
      <w:rFonts w:ascii="宋体" w:hAnsi="Courier New" w:eastAsia="宋体" w:cs="Courier New"/>
      <w:kern w:val="2"/>
      <w:sz w:val="21"/>
      <w:szCs w:val="21"/>
    </w:rPr>
  </w:style>
  <w:style w:type="character" w:customStyle="1" w:styleId="20">
    <w:name w:val="标题 3 Char"/>
    <w:basedOn w:val="10"/>
    <w:link w:val="3"/>
    <w:qFormat/>
    <w:uiPriority w:val="0"/>
    <w:rPr>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906</Words>
  <Characters>5165</Characters>
  <Lines>43</Lines>
  <Paragraphs>12</Paragraphs>
  <TotalTime>6</TotalTime>
  <ScaleCrop>false</ScaleCrop>
  <LinksUpToDate>false</LinksUpToDate>
  <CharactersWithSpaces>6059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2021-02-24T02:11:08Z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