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28385" cy="8674735"/>
            <wp:effectExtent l="0" t="0" r="5715" b="12065"/>
            <wp:docPr id="3" name="图片 3" descr="D ISC-B-I-05 一阶段审核计划00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B-I-05 一阶段审核计划002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0075-2021-EO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朴奇焕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17190177843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892790980@qq.com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E：智能多声道超声流量计（速度式流量计）的生产(组装)所涉及场所的相关环境管理活动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O：智能多声道超声流量计（速度式流量计）的生产（组装）所涉及场所的相关职业健康安全管理活动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E：19.05.01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2021年02月03日 上午至2021年02月03日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2021.2.3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组织的知识，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质量环境安全事故及投诉情况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/7.5/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综合部/生产</w:t>
            </w:r>
            <w:r>
              <w:rPr>
                <w:rFonts w:hint="eastAsia"/>
                <w:sz w:val="21"/>
                <w:szCs w:val="21"/>
              </w:rPr>
              <w:t>部：目标、指标及管理方案的可行性；环境因素、危险源的识别评价情况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合规义务、适用法律法规识别的充分性及合规性评价情况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涉及条款：EO6.1.2/6.1.3/6.2</w:t>
            </w:r>
            <w:r>
              <w:rPr>
                <w:rFonts w:hint="eastAsia"/>
                <w:sz w:val="21"/>
                <w:szCs w:val="21"/>
              </w:rPr>
              <w:t>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D7725"/>
    <w:rsid w:val="29D87006"/>
    <w:rsid w:val="35AF2D68"/>
    <w:rsid w:val="38653C1D"/>
    <w:rsid w:val="66C12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2021-02-09T00:52:39Z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