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重庆兰阀流体控制设备有限公司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重庆市渝北区回兴街道金锦路27号1号厂房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023-67188413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rFonts w:hint="eastAsia"/>
                <w:sz w:val="20"/>
                <w:szCs w:val="22"/>
              </w:rPr>
              <w:t>杨明忠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0241-2018-QE-2021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Q：流体控制设备、仪器仪表、阀门及配件的销售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E：流体控制设备、仪器仪表、阀门及配件的销售所涉及的相关环境管理活动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2021年02月02日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2021年02月02日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5.3组织的角色、职责和权限；6.1.2环境因素；6.1.3合规义务；6.2目标及其达成的策划；7.1资源；7.2能力；7.3意识；7.4沟通；7.5文件化信息；8.1运行策划和控制；8.2应急准备和响应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bookmarkStart w:id="19" w:name="_GoBack"/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 8.1运行策划和控制；8.2产品和服务的要求；8.3设计开发控制； 8.5.1生产和服务提供的控制； 8.5.2标识和可追溯性；8.5.3顾客或外部供方的财产；8.5.4防护；8.5.6更改控制；8.6产品和服务放行；8.7不合格输出的控制；9.1.2顾客满意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</w:p>
          <w:p>
            <w:pP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End w:id="19"/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44310B"/>
    <w:rsid w:val="1B3C3CD6"/>
    <w:rsid w:val="4F9532C7"/>
    <w:rsid w:val="53722C64"/>
    <w:rsid w:val="5BAB3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2021-02-01T07:49:53Z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