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业务部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季艳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张静、陈丽丹（远程）</w:t>
            </w:r>
            <w:r>
              <w:rPr>
                <w:rFonts w:hint="eastAsia"/>
                <w:sz w:val="24"/>
                <w:szCs w:val="24"/>
              </w:rPr>
              <w:t xml:space="preserve">          审核日期：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MS:</w:t>
            </w:r>
            <w:r>
              <w:rPr>
                <w:rFonts w:hint="eastAsia"/>
                <w:szCs w:val="21"/>
              </w:rPr>
              <w:t>5.3/6.2</w:t>
            </w:r>
            <w:r>
              <w:rPr>
                <w:szCs w:val="21"/>
              </w:rPr>
              <w:t>/8.4</w:t>
            </w:r>
            <w:r>
              <w:rPr>
                <w:rFonts w:hint="eastAsia"/>
                <w:szCs w:val="21"/>
                <w:lang w:val="en-US" w:eastAsia="zh-CN"/>
              </w:rPr>
              <w:t>/10.2</w:t>
            </w:r>
          </w:p>
          <w:p>
            <w:pPr>
              <w:ind w:firstLine="1260" w:firstLineChars="6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FSMS:5</w:t>
            </w:r>
            <w:r>
              <w:rPr>
                <w:szCs w:val="21"/>
              </w:rPr>
              <w:t>.3/6.2/7.1.6</w:t>
            </w:r>
            <w:r>
              <w:rPr>
                <w:rFonts w:hint="eastAsia"/>
                <w:szCs w:val="21"/>
              </w:rPr>
              <w:t>/8.2</w:t>
            </w:r>
            <w:r>
              <w:rPr>
                <w:rFonts w:hint="eastAsia"/>
                <w:szCs w:val="21"/>
                <w:lang w:val="en-US" w:eastAsia="zh-CN"/>
              </w:rPr>
              <w:t>/10.1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Q5.3</w:t>
            </w:r>
          </w:p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5.3条款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 xml:space="preserve">负责外部提供的过程、产品和服务的控制工作；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2、严格执行原辅料标准及相关法律法规要求，按时、保质、保量采购餐饮加工所需的原辅材料；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3、负责组织对供应商的评定，建立合格供应商名录和档案，对合格供应商实施动态管理；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4、负责不合格原辅材料的协调处理；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5、负责市场调查，收集产品的需求信息；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6、配合新产品的宣传，引导消费；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7、采购后各类物资的储存按照有关法律法规和组织要求，确保物资在使用有效期内；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/>
                <w:sz w:val="21"/>
                <w:szCs w:val="21"/>
              </w:rPr>
              <w:t>8、提出销售改进方面的建议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</w:rPr>
              <w:t>质量和食品安全目标分解及完成情况考核表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质量目标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/食品安全目标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pacing w:val="1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合格供方评审率100%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合格供方评审数量/合格供方需评审总数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业务部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体系建立以来未发生，年度评价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Q8.4</w:t>
            </w:r>
          </w:p>
          <w:p>
            <w:r>
              <w:rPr>
                <w:rFonts w:hint="eastAsia"/>
                <w:color w:val="000000"/>
                <w:szCs w:val="21"/>
              </w:rPr>
              <w:t>F7.1.6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/>
          <w:p/>
          <w:p>
            <w:pPr>
              <w:rPr>
                <w:color w:val="FF0000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虫害控制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部分档口制售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从《</w:t>
            </w:r>
            <w:r>
              <w:rPr>
                <w:rFonts w:hint="eastAsia"/>
                <w:highlight w:val="none"/>
              </w:rPr>
              <w:t>合格</w:t>
            </w:r>
            <w:r>
              <w:rPr>
                <w:rFonts w:hint="eastAsia"/>
                <w:highlight w:val="none"/>
                <w:lang w:val="en-US" w:eastAsia="zh-CN"/>
              </w:rPr>
              <w:t>供方名录</w:t>
            </w:r>
            <w:r>
              <w:rPr>
                <w:rFonts w:hint="eastAsia"/>
              </w:rPr>
              <w:t>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</w:rPr>
              <w:t>供应商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评估记录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》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西宁市城北区一路发蔬菜水果批发部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92630105MA75QU5BXC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yellow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JY16301050057474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果蔬农残由供方检测；建议采用农残快速检测试纸进行检测。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蛋类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西宁城北区小刘蛋品批发部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CCC有限公司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</w:rPr>
              <w:t>供应商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评估记录</w:t>
            </w:r>
            <w:r>
              <w:rPr>
                <w:rFonts w:hint="eastAsia"/>
                <w:u w:val="single"/>
              </w:rPr>
              <w:t xml:space="preserve">   》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西宁城东鲁丰粮油站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米面、</w:t>
                  </w:r>
                  <w:r>
                    <w:rPr>
                      <w:rFonts w:hint="eastAsia"/>
                    </w:rPr>
                    <w:t>粮油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92630102MA75821T75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JY16301020037207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适用时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西宁市城东区蔚权牛羊肉经销部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牛羊肉类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92630102MA75R5P20W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</w:p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肉品品质检验合格证：No.1047211，日期：2020-11-11；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动物检疫合格证明：No.6300298366，日期：2020-10-25；</w:t>
                  </w:r>
                </w:p>
                <w:p>
                  <w:pPr>
                    <w:rPr>
                      <w:rFonts w:hint="eastAsia"/>
                      <w:color w:val="FF0000"/>
                    </w:rPr>
                  </w:pP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调味料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西宁城北区刘恒调料批发部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禽肉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西宁城欧诺餐料行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u w:val="single"/>
              </w:rPr>
            </w:pPr>
          </w:p>
          <w:p>
            <w:pPr>
              <w:rPr>
                <w:rFonts w:hint="eastAsia"/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西宁君朋清洁服务有限公司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虫害控制服务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91630102310844583W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（适用时）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满足</w:t>
                  </w:r>
                  <w:r>
                    <w:rPr>
                      <w:rFonts w:hint="eastAsia"/>
                    </w:rPr>
                    <w:t>合格供方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不满足</w:t>
                  </w:r>
                  <w:r>
                    <w:rPr>
                      <w:rFonts w:hint="eastAsia"/>
                    </w:rPr>
                    <w:t>合格供方</w:t>
                  </w: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</w:tr>
          </w:tbl>
          <w:p>
            <w:pPr>
              <w:rPr>
                <w:rFonts w:hint="eastAsia"/>
                <w:u w:val="single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  <w:highlight w:val="none"/>
                <w:lang w:val="en-US" w:eastAsia="zh-CN"/>
              </w:rPr>
              <w:t>远程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highlight w:val="none"/>
                <w:u w:val="none"/>
              </w:rPr>
            </w:pPr>
          </w:p>
          <w:p>
            <w:pPr>
              <w:rPr>
                <w:rFonts w:hint="eastAsia" w:eastAsia="宋体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none"/>
              </w:rPr>
              <w:t>常温库房</w:t>
            </w:r>
            <w:r>
              <w:rPr>
                <w:rFonts w:hint="eastAsia"/>
                <w:highlight w:val="none"/>
                <w:u w:val="single"/>
              </w:rPr>
              <w:t>：食用油、大米、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面粉</w:t>
            </w:r>
            <w:r>
              <w:rPr>
                <w:rFonts w:hint="eastAsia"/>
                <w:highlight w:val="none"/>
                <w:u w:val="single"/>
              </w:rPr>
              <w:t>等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none"/>
              </w:rPr>
              <w:t>冷冻柜中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</w:rPr>
              <w:t>猪肉、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牛</w:t>
            </w:r>
            <w:r>
              <w:rPr>
                <w:rFonts w:hint="eastAsia"/>
                <w:highlight w:val="none"/>
                <w:u w:val="single"/>
              </w:rPr>
              <w:t>肉；</w:t>
            </w:r>
          </w:p>
          <w:p>
            <w:r>
              <w:rPr>
                <w:rFonts w:hint="eastAsia"/>
                <w:lang w:val="en-US" w:eastAsia="zh-CN"/>
              </w:rPr>
              <w:t>粗加工制作区：</w:t>
            </w:r>
            <w:r>
              <w:rPr>
                <w:rFonts w:hint="eastAsia"/>
                <w:u w:val="single"/>
                <w:lang w:val="en-US" w:eastAsia="zh-CN"/>
              </w:rPr>
              <w:t>蔬菜。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</w:rPr>
              <w:t>供应商调查评定表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西宁城东鲁丰粮油站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粮油、米面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西宁市城北区刘恒调料批发部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调料类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  <w:highlight w:val="none"/>
              </w:rPr>
              <w:t>《采购合同》及《采购计划》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2171"/>
              <w:gridCol w:w="1900"/>
              <w:gridCol w:w="1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highlight w:val="magenta"/>
                    </w:rPr>
                  </w:pPr>
                  <w:r>
                    <w:rPr>
                      <w:rFonts w:hint="eastAsia"/>
                      <w:highlight w:val="none"/>
                    </w:rPr>
                    <w:t>2020年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1 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90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22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31" w:type="dxa"/>
                </w:tcPr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米面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虫害控制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符合标准</w:t>
                  </w:r>
                  <w:r>
                    <w:rPr>
                      <w:rFonts w:hint="eastAsia"/>
                    </w:rPr>
                    <w:t>，索证齐全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满足虫害控制要求</w:t>
                  </w:r>
                </w:p>
              </w:tc>
              <w:tc>
                <w:tcPr>
                  <w:tcW w:w="193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3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00" w:type="dxa"/>
                </w:tcPr>
                <w:p>
                  <w:r>
                    <w:rPr>
                      <w:rFonts w:hint="eastAsia"/>
                      <w:lang w:eastAsia="zh-CN"/>
                    </w:rPr>
                    <w:t>餐饮服务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3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专业资质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定期进行虫害消杀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供货及时、提供检测报告、每年评价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每年评价，定期检查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900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931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前提方案</w:t>
            </w:r>
            <w:r>
              <w:rPr>
                <w:sz w:val="21"/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8.8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前提方案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>PRP，</w:t>
            </w:r>
            <w:r>
              <w:rPr>
                <w:rFonts w:hint="eastAsia"/>
                <w:lang w:eastAsia="zh-CN"/>
              </w:rPr>
              <w:t>本部门</w:t>
            </w:r>
            <w:r>
              <w:rPr>
                <w:rFonts w:hint="eastAsia"/>
              </w:rPr>
              <w:t>内容包括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查看《</w:t>
            </w:r>
            <w:r>
              <w:rPr>
                <w:rFonts w:hint="eastAsia"/>
                <w:u w:val="single"/>
                <w:lang w:val="en-US" w:eastAsia="zh-CN"/>
              </w:rPr>
              <w:t>青海省餐饮单位食品原料进货台账</w:t>
            </w:r>
            <w:r>
              <w:rPr>
                <w:rFonts w:hint="eastAsia"/>
                <w:u w:val="single"/>
                <w:lang w:eastAsia="zh-CN"/>
              </w:rPr>
              <w:t>》，项目包括</w:t>
            </w:r>
            <w:r>
              <w:rPr>
                <w:rFonts w:hint="eastAsia"/>
                <w:u w:val="single"/>
                <w:lang w:val="en-US" w:eastAsia="zh-CN"/>
              </w:rPr>
              <w:t>品名</w:t>
            </w:r>
            <w:r>
              <w:rPr>
                <w:rFonts w:hint="eastAsia"/>
                <w:u w:val="single"/>
                <w:lang w:eastAsia="zh-CN"/>
              </w:rPr>
              <w:t>、规格、数量、生产</w:t>
            </w:r>
            <w:r>
              <w:rPr>
                <w:rFonts w:hint="eastAsia"/>
                <w:u w:val="single"/>
                <w:lang w:val="en-US" w:eastAsia="zh-CN"/>
              </w:rPr>
              <w:t>日期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保质期、</w:t>
            </w:r>
            <w:r>
              <w:rPr>
                <w:rFonts w:hint="eastAsia"/>
                <w:u w:val="single"/>
                <w:lang w:eastAsia="zh-CN"/>
              </w:rPr>
              <w:t>生产单位及生产许可证号、供应单位</w:t>
            </w:r>
            <w:r>
              <w:rPr>
                <w:rFonts w:hint="eastAsia"/>
                <w:u w:val="single"/>
                <w:lang w:val="en-US" w:eastAsia="zh-CN"/>
              </w:rPr>
              <w:t>联系电话</w:t>
            </w:r>
            <w:r>
              <w:rPr>
                <w:rFonts w:hint="eastAsia"/>
                <w:u w:val="single"/>
                <w:lang w:eastAsia="zh-CN"/>
              </w:rPr>
              <w:t>等，符合要求。</w:t>
            </w:r>
          </w:p>
          <w:p>
            <w:pPr>
              <w:rPr>
                <w:rFonts w:hint="eastAsia"/>
                <w:u w:val="single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不合格和纠正措施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Q10.2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10.2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/>
              <w:sym w:font="Wingdings" w:char="F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不合格品及潜在不安全产品控制程序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本部门主要对原料验收、储存等过程中涉及的不合格品进行控制。</w:t>
            </w:r>
          </w:p>
          <w:p>
            <w:pPr>
              <w:ind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eastAsia="zh-CN"/>
              </w:rPr>
              <w:t>查看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</w:rPr>
              <w:t>食堂不合格食品及原料（包括食品添加剂）处理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情况</w:t>
            </w:r>
            <w:r>
              <w:rPr>
                <w:rFonts w:hint="eastAsia"/>
                <w:highlight w:val="none"/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项目包括原料名称、生产厂家、数量、规格、不合格原因、处理方法、处理日期、经办人等，符合要求。</w:t>
            </w:r>
          </w:p>
          <w:p>
            <w:pPr>
              <w:ind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体系建立以来未发生原料不合格的情况。</w:t>
            </w:r>
          </w:p>
          <w:p>
            <w:pPr>
              <w:ind w:firstLine="420" w:firstLineChars="200"/>
              <w:rPr>
                <w:rFonts w:hint="default"/>
                <w:u w:val="singl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</w:rPr>
            </w:pP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22075"/>
    <w:rsid w:val="00171679"/>
    <w:rsid w:val="001773AF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410914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757F3"/>
    <w:rsid w:val="007C1B48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5271CB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C102DA"/>
    <w:rsid w:val="0D181113"/>
    <w:rsid w:val="0D1E4D9B"/>
    <w:rsid w:val="0D3E2310"/>
    <w:rsid w:val="0D4D1326"/>
    <w:rsid w:val="0D6A2C36"/>
    <w:rsid w:val="0DB35CC0"/>
    <w:rsid w:val="0E2E3EC8"/>
    <w:rsid w:val="0E49595F"/>
    <w:rsid w:val="0E8B5ACB"/>
    <w:rsid w:val="0E921765"/>
    <w:rsid w:val="0EB8524B"/>
    <w:rsid w:val="0EC82C9D"/>
    <w:rsid w:val="0F257333"/>
    <w:rsid w:val="0F86648B"/>
    <w:rsid w:val="0F9C35C1"/>
    <w:rsid w:val="0FFA42BF"/>
    <w:rsid w:val="0FFE0705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B443C"/>
    <w:rsid w:val="1D4D4A00"/>
    <w:rsid w:val="1D7A3AD2"/>
    <w:rsid w:val="1DC4038A"/>
    <w:rsid w:val="1DF36090"/>
    <w:rsid w:val="1DFE25B1"/>
    <w:rsid w:val="1E511FFA"/>
    <w:rsid w:val="1E752FA2"/>
    <w:rsid w:val="1E9A57F3"/>
    <w:rsid w:val="1EF77273"/>
    <w:rsid w:val="1F1B527D"/>
    <w:rsid w:val="1F1B65D5"/>
    <w:rsid w:val="1F35289F"/>
    <w:rsid w:val="1F4E73A5"/>
    <w:rsid w:val="1F8E0A45"/>
    <w:rsid w:val="1FAB395F"/>
    <w:rsid w:val="1FB8538A"/>
    <w:rsid w:val="1FD92A92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D66164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7D3F5C"/>
    <w:rsid w:val="31871104"/>
    <w:rsid w:val="31B477DB"/>
    <w:rsid w:val="31B67BE2"/>
    <w:rsid w:val="31CA71DD"/>
    <w:rsid w:val="324E5138"/>
    <w:rsid w:val="328B2DCA"/>
    <w:rsid w:val="331E21CE"/>
    <w:rsid w:val="33562A0D"/>
    <w:rsid w:val="33715F28"/>
    <w:rsid w:val="33F07155"/>
    <w:rsid w:val="340C6245"/>
    <w:rsid w:val="343C4522"/>
    <w:rsid w:val="347A0336"/>
    <w:rsid w:val="34C464EF"/>
    <w:rsid w:val="34F92D63"/>
    <w:rsid w:val="35527F1F"/>
    <w:rsid w:val="357914C0"/>
    <w:rsid w:val="35972583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897824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B84728"/>
    <w:rsid w:val="5FE015B4"/>
    <w:rsid w:val="6018182B"/>
    <w:rsid w:val="601E0F43"/>
    <w:rsid w:val="60596F8D"/>
    <w:rsid w:val="608075E1"/>
    <w:rsid w:val="61326FB1"/>
    <w:rsid w:val="61384C31"/>
    <w:rsid w:val="61E77A7E"/>
    <w:rsid w:val="622902C4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C36B3C"/>
    <w:rsid w:val="64D069A0"/>
    <w:rsid w:val="64E375F7"/>
    <w:rsid w:val="64F27E75"/>
    <w:rsid w:val="65067C78"/>
    <w:rsid w:val="65662197"/>
    <w:rsid w:val="658C1A47"/>
    <w:rsid w:val="658C79F9"/>
    <w:rsid w:val="65A33DF6"/>
    <w:rsid w:val="65BE04E1"/>
    <w:rsid w:val="65F429F0"/>
    <w:rsid w:val="665A6FDB"/>
    <w:rsid w:val="66B368AE"/>
    <w:rsid w:val="66B47BD2"/>
    <w:rsid w:val="66B532F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49FE"/>
    <w:rsid w:val="6BC747F5"/>
    <w:rsid w:val="6BD35CE4"/>
    <w:rsid w:val="6C3014BE"/>
    <w:rsid w:val="6C5D414F"/>
    <w:rsid w:val="6C761A36"/>
    <w:rsid w:val="6CA324B4"/>
    <w:rsid w:val="6CDE17FD"/>
    <w:rsid w:val="6D1159BD"/>
    <w:rsid w:val="6D1D2C91"/>
    <w:rsid w:val="6D232D3C"/>
    <w:rsid w:val="6D2F5D1E"/>
    <w:rsid w:val="6D792112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9A58D9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C1750F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3462</Characters>
  <Lines>28</Lines>
  <Paragraphs>8</Paragraphs>
  <TotalTime>0</TotalTime>
  <ScaleCrop>false</ScaleCrop>
  <LinksUpToDate>false</LinksUpToDate>
  <CharactersWithSpaces>4061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2021-02-02T07:27:26Z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341D71D78F324FBBBCDCE2CA8330C24D</vt:lpwstr>
  </property>
</Properties>
</file>