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jc w:val="center"/>
      </w:pPr>
    </w:p>
    <w:p>
      <w:pPr>
        <w:jc w:val="center"/>
      </w:pPr>
    </w:p>
    <w:p>
      <w:pPr>
        <w:jc w:val="center"/>
      </w:pPr>
    </w:p>
    <w:p>
      <w:pPr>
        <w:jc w:val="center"/>
      </w:pPr>
      <w:r>
        <w:drawing>
          <wp:anchor distT="0" distB="0" distL="114300" distR="114300" simplePos="0" relativeHeight="251658240" behindDoc="1" locked="0" layoutInCell="1" allowOverlap="1">
            <wp:simplePos x="0" y="0"/>
            <wp:positionH relativeFrom="column">
              <wp:posOffset>1604010</wp:posOffset>
            </wp:positionH>
            <wp:positionV relativeFrom="paragraph">
              <wp:posOffset>48895</wp:posOffset>
            </wp:positionV>
            <wp:extent cx="1714500" cy="1901825"/>
            <wp:effectExtent l="0" t="0" r="0" b="0"/>
            <wp:wrapNone/>
            <wp:docPr id="2"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2" descr="认证logo1"/>
                    <pic:cNvPicPr>
                      <a:picLocks noChangeAspect="1" noChangeArrowheads="1"/>
                    </pic:cNvPicPr>
                  </pic:nvPicPr>
                  <pic:blipFill>
                    <a:blip r:embed="rId5" cstate="print"/>
                    <a:srcRect/>
                    <a:stretch>
                      <a:fillRect/>
                    </a:stretch>
                  </pic:blipFill>
                  <pic:spPr>
                    <a:xfrm>
                      <a:off x="0" y="0"/>
                      <a:ext cx="1714500" cy="1901825"/>
                    </a:xfrm>
                    <a:prstGeom prst="rect">
                      <a:avLst/>
                    </a:prstGeom>
                    <a:noFill/>
                  </pic:spPr>
                </pic:pic>
              </a:graphicData>
            </a:graphic>
          </wp:anchor>
        </w:drawing>
      </w:r>
    </w:p>
    <w:p>
      <w:pPr>
        <w:jc w:val="center"/>
      </w:pPr>
    </w:p>
    <w:p>
      <w:pPr>
        <w:jc w:val="center"/>
      </w:pPr>
    </w:p>
    <w:p>
      <w:pPr>
        <w:jc w:val="center"/>
      </w:pPr>
    </w:p>
    <w:p>
      <w:pPr>
        <w:jc w:val="center"/>
      </w:pPr>
    </w:p>
    <w:p/>
    <w:p>
      <w:pPr>
        <w:spacing w:line="0" w:lineRule="atLeast"/>
        <w:rPr>
          <w:rFonts w:ascii="宋体" w:hAnsi="宋体"/>
          <w:sz w:val="48"/>
        </w:rPr>
      </w:pPr>
    </w:p>
    <w:p>
      <w:pPr>
        <w:spacing w:line="0" w:lineRule="atLeast"/>
        <w:rPr>
          <w:rFonts w:ascii="宋体" w:hAnsi="宋体"/>
          <w:sz w:val="48"/>
        </w:rPr>
      </w:pPr>
    </w:p>
    <w:p>
      <w:pPr>
        <w:spacing w:line="0" w:lineRule="atLeast"/>
        <w:rPr>
          <w:rFonts w:ascii="宋体" w:hAnsi="宋体"/>
          <w:sz w:val="24"/>
          <w:szCs w:val="15"/>
        </w:rPr>
      </w:pPr>
    </w:p>
    <w:p>
      <w:pPr>
        <w:spacing w:line="500" w:lineRule="exact"/>
        <w:rPr>
          <w:rFonts w:ascii="宋体" w:hAnsi="宋体"/>
          <w:sz w:val="40"/>
          <w:szCs w:val="21"/>
        </w:rPr>
      </w:pPr>
    </w:p>
    <w:p>
      <w:pPr>
        <w:adjustRightInd w:val="0"/>
        <w:snapToGrid w:val="0"/>
        <w:spacing w:line="500" w:lineRule="exact"/>
        <w:ind w:firstLine="57"/>
        <w:jc w:val="center"/>
        <w:rPr>
          <w:rFonts w:ascii="宋体" w:hAnsi="宋体"/>
          <w:b/>
          <w:sz w:val="44"/>
          <w:szCs w:val="44"/>
        </w:rPr>
      </w:pPr>
      <w:r>
        <w:rPr>
          <w:rFonts w:hint="eastAsia" w:ascii="宋体" w:hAnsi="宋体"/>
          <w:b/>
          <w:sz w:val="44"/>
          <w:szCs w:val="44"/>
        </w:rPr>
        <w:t>测量管理体系</w:t>
      </w:r>
    </w:p>
    <w:p>
      <w:pPr>
        <w:adjustRightInd w:val="0"/>
        <w:snapToGrid w:val="0"/>
        <w:spacing w:line="400" w:lineRule="exact"/>
        <w:ind w:firstLine="57"/>
        <w:jc w:val="center"/>
        <w:rPr>
          <w:rFonts w:ascii="宋体" w:hAnsi="宋体"/>
          <w:b/>
          <w:bCs/>
          <w:sz w:val="32"/>
          <w:szCs w:val="32"/>
        </w:rPr>
      </w:pPr>
      <w:r>
        <w:rPr>
          <w:rFonts w:hint="eastAsia" w:ascii="宋体" w:hAnsi="宋体"/>
          <w:b/>
          <w:bCs/>
          <w:sz w:val="32"/>
          <w:szCs w:val="32"/>
        </w:rPr>
        <w:t>（</w:t>
      </w:r>
      <w:bookmarkStart w:id="0" w:name="审核依据"/>
      <w:r>
        <w:rPr>
          <w:rFonts w:hint="eastAsia" w:ascii="宋体" w:hAnsi="宋体"/>
          <w:b/>
          <w:bCs/>
          <w:sz w:val="32"/>
          <w:szCs w:val="32"/>
        </w:rPr>
        <w:t>GB/T19022-2003/ISO10012:2003</w:t>
      </w:r>
      <w:bookmarkEnd w:id="0"/>
      <w:r>
        <w:rPr>
          <w:rFonts w:hint="eastAsia" w:ascii="宋体" w:hAnsi="宋体"/>
          <w:b/>
          <w:bCs/>
          <w:sz w:val="32"/>
          <w:szCs w:val="32"/>
        </w:rPr>
        <w:t>）</w:t>
      </w:r>
    </w:p>
    <w:p>
      <w:pPr>
        <w:widowControl/>
        <w:jc w:val="center"/>
        <w:rPr>
          <w:rFonts w:ascii="宋体" w:hAnsi="宋体"/>
          <w:b/>
          <w:sz w:val="48"/>
          <w:szCs w:val="48"/>
        </w:rPr>
      </w:pPr>
      <w:r>
        <w:rPr>
          <w:rFonts w:hint="eastAsia" w:ascii="宋体" w:hAnsi="宋体"/>
          <w:b/>
          <w:sz w:val="48"/>
          <w:szCs w:val="48"/>
        </w:rPr>
        <w:t>监督审核报告书</w:t>
      </w:r>
    </w:p>
    <w:p>
      <w:pPr>
        <w:widowControl/>
        <w:rPr>
          <w:rFonts w:ascii="宋体" w:hAnsi="宋体"/>
          <w:b/>
          <w:sz w:val="52"/>
          <w:szCs w:val="52"/>
        </w:rPr>
      </w:pPr>
    </w:p>
    <w:p>
      <w:pPr>
        <w:widowControl/>
        <w:rPr>
          <w:rFonts w:ascii="宋体" w:hAnsi="宋体"/>
          <w:b/>
          <w:sz w:val="52"/>
          <w:szCs w:val="52"/>
        </w:rPr>
      </w:pPr>
    </w:p>
    <w:p>
      <w:pPr>
        <w:widowControl/>
        <w:rPr>
          <w:rFonts w:ascii="宋体" w:hAnsi="宋体"/>
          <w:b/>
          <w:sz w:val="52"/>
          <w:szCs w:val="52"/>
        </w:rPr>
      </w:pPr>
    </w:p>
    <w:p>
      <w:pPr>
        <w:spacing w:line="365" w:lineRule="exact"/>
        <w:rPr>
          <w:rFonts w:ascii="宋体" w:hAnsi="宋体"/>
          <w:sz w:val="32"/>
          <w:szCs w:val="24"/>
        </w:rPr>
      </w:pPr>
    </w:p>
    <w:p>
      <w:pPr>
        <w:spacing w:line="365" w:lineRule="exact"/>
        <w:rPr>
          <w:rFonts w:ascii="宋体" w:hAnsi="宋体"/>
          <w:sz w:val="32"/>
        </w:rPr>
      </w:pPr>
    </w:p>
    <w:p>
      <w:pPr>
        <w:spacing w:line="360" w:lineRule="auto"/>
        <w:jc w:val="left"/>
        <w:rPr>
          <w:rFonts w:ascii="宋体" w:hAnsi="宋体"/>
          <w:sz w:val="24"/>
          <w:u w:val="single"/>
        </w:rPr>
      </w:pPr>
      <w:r>
        <w:rPr>
          <w:rFonts w:hint="eastAsia" w:ascii="宋体" w:hAnsi="宋体"/>
          <w:sz w:val="32"/>
        </w:rPr>
        <w:t>认 证 企 业</w:t>
      </w:r>
      <w:r>
        <w:rPr>
          <w:rFonts w:hint="eastAsia" w:ascii="MS PGothic" w:hAnsi="MS PGothic"/>
          <w:sz w:val="32"/>
        </w:rPr>
        <w:t>：</w:t>
      </w:r>
      <w:bookmarkStart w:id="1" w:name="组织名称"/>
      <w:r>
        <w:rPr>
          <w:rFonts w:hint="eastAsia" w:ascii="宋体" w:hAnsi="宋体"/>
          <w:sz w:val="32"/>
          <w:u w:val="single"/>
        </w:rPr>
        <w:t>湖南子门电子科技有限公司</w:t>
      </w:r>
      <w:bookmarkEnd w:id="1"/>
    </w:p>
    <w:p>
      <w:pPr>
        <w:spacing w:line="360" w:lineRule="auto"/>
        <w:jc w:val="left"/>
        <w:rPr>
          <w:rFonts w:ascii="宋体" w:hAnsi="宋体"/>
          <w:spacing w:val="32"/>
          <w:sz w:val="32"/>
          <w:u w:val="single"/>
        </w:rPr>
      </w:pPr>
      <w:r>
        <w:rPr>
          <w:rFonts w:hint="eastAsia" w:ascii="宋体" w:hAnsi="宋体"/>
          <w:spacing w:val="80"/>
          <w:sz w:val="32"/>
        </w:rPr>
        <w:t>编</w:t>
      </w:r>
      <w:r>
        <w:rPr>
          <w:rFonts w:hint="eastAsia" w:ascii="宋体" w:hAnsi="宋体"/>
          <w:spacing w:val="80"/>
          <w:sz w:val="32"/>
          <w:lang w:val="en-US" w:eastAsia="zh-CN"/>
        </w:rPr>
        <w:t xml:space="preserve">   </w:t>
      </w:r>
      <w:r>
        <w:rPr>
          <w:rFonts w:hint="eastAsia" w:ascii="宋体" w:hAnsi="宋体"/>
          <w:spacing w:val="80"/>
          <w:sz w:val="32"/>
        </w:rPr>
        <w:t>号</w:t>
      </w:r>
      <w:r>
        <w:rPr>
          <w:rFonts w:hint="eastAsia" w:ascii="宋体" w:hAnsi="宋体"/>
          <w:sz w:val="32"/>
        </w:rPr>
        <w:t>：</w:t>
      </w:r>
      <w:bookmarkStart w:id="2" w:name="合同编号"/>
      <w:r>
        <w:rPr>
          <w:rFonts w:hint="eastAsia" w:ascii="宋体" w:hAnsi="宋体"/>
          <w:sz w:val="32"/>
          <w:lang w:val="en-US" w:eastAsia="zh-CN"/>
        </w:rPr>
        <w:t xml:space="preserve">   </w:t>
      </w:r>
      <w:r>
        <w:rPr>
          <w:rFonts w:hint="eastAsia" w:ascii="宋体" w:hAnsi="宋体"/>
          <w:sz w:val="32"/>
          <w:u w:val="single"/>
        </w:rPr>
        <w:t>0223-2019-2021</w:t>
      </w:r>
      <w:bookmarkEnd w:id="2"/>
    </w:p>
    <w:p>
      <w:pPr>
        <w:spacing w:line="360" w:lineRule="auto"/>
        <w:jc w:val="left"/>
        <w:rPr>
          <w:rFonts w:ascii="宋体" w:hAnsi="宋体"/>
          <w:sz w:val="32"/>
        </w:rPr>
      </w:pPr>
      <w:r>
        <w:rPr>
          <w:rFonts w:hint="eastAsia" w:ascii="宋体" w:hAnsi="宋体"/>
          <w:spacing w:val="80"/>
          <w:sz w:val="32"/>
        </w:rPr>
        <w:t>审核类型</w:t>
      </w:r>
      <w:r>
        <w:rPr>
          <w:rFonts w:hint="eastAsia" w:ascii="MS PGothic" w:hAnsi="MS PGothic"/>
          <w:sz w:val="32"/>
        </w:rPr>
        <w:t>：</w:t>
      </w:r>
      <w:r>
        <w:rPr>
          <w:rFonts w:hint="eastAsia" w:ascii="MS PGothic" w:hAnsi="MS PGothic"/>
          <w:sz w:val="32"/>
          <w:lang w:val="en-US" w:eastAsia="zh-CN"/>
        </w:rPr>
        <w:t xml:space="preserve">  </w:t>
      </w:r>
      <w:r>
        <w:rPr>
          <w:rFonts w:hint="eastAsia" w:ascii="宋体" w:hAnsi="宋体"/>
          <w:sz w:val="32"/>
          <w:u w:val="single"/>
        </w:rPr>
        <w:t>年度监督审核</w:t>
      </w:r>
    </w:p>
    <w:p>
      <w:pPr>
        <w:widowControl/>
        <w:spacing w:line="360" w:lineRule="auto"/>
        <w:ind w:right="360"/>
        <w:rPr>
          <w:rFonts w:ascii="宋体" w:hAnsi="宋体"/>
          <w:spacing w:val="80"/>
          <w:sz w:val="32"/>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jc w:val="right"/>
        <w:rPr>
          <w:rFonts w:ascii="Times New Roman" w:hAnsi="Times New Roman" w:eastAsia="宋体" w:cs="Times New Roman"/>
          <w:bCs/>
          <w:kern w:val="0"/>
          <w:sz w:val="18"/>
          <w:szCs w:val="18"/>
        </w:rPr>
      </w:pPr>
    </w:p>
    <w:p>
      <w:pPr>
        <w:widowControl/>
        <w:spacing w:line="360" w:lineRule="auto"/>
        <w:jc w:val="right"/>
        <w:rPr>
          <w:rFonts w:ascii="Times New Roman" w:hAnsi="Times New Roman" w:eastAsia="宋体" w:cs="Times New Roman"/>
          <w:bCs/>
          <w:kern w:val="0"/>
          <w:sz w:val="18"/>
          <w:szCs w:val="18"/>
        </w:rPr>
      </w:pPr>
      <w:r>
        <w:rPr>
          <w:rFonts w:ascii="Times New Roman" w:hAnsi="Times New Roman" w:eastAsia="宋体" w:cs="Times New Roman"/>
          <w:bCs/>
          <w:kern w:val="0"/>
          <w:sz w:val="18"/>
          <w:szCs w:val="18"/>
        </w:rPr>
        <w:t>编号：</w:t>
      </w:r>
      <w:bookmarkStart w:id="3" w:name="合同编号Add"/>
      <w:r>
        <w:rPr>
          <w:rFonts w:ascii="Times New Roman" w:hAnsi="Times New Roman" w:eastAsia="宋体" w:cs="Times New Roman"/>
          <w:bCs/>
          <w:kern w:val="0"/>
          <w:sz w:val="18"/>
          <w:szCs w:val="18"/>
          <w:u w:val="single"/>
        </w:rPr>
        <w:t>0223-2019-2021</w:t>
      </w:r>
      <w:bookmarkEnd w:id="3"/>
    </w:p>
    <w:p>
      <w:pPr>
        <w:widowControl/>
        <w:spacing w:line="360" w:lineRule="auto"/>
        <w:jc w:val="center"/>
        <w:rPr>
          <w:rFonts w:ascii="宋体" w:hAnsi="宋体" w:eastAsia="宋体" w:cs="宋体"/>
          <w:b/>
          <w:bCs/>
          <w:kern w:val="0"/>
          <w:sz w:val="30"/>
          <w:szCs w:val="30"/>
        </w:rPr>
      </w:pPr>
      <w:r>
        <w:rPr>
          <w:rFonts w:ascii="宋体" w:hAnsi="宋体" w:eastAsia="宋体" w:cs="宋体"/>
          <w:b/>
          <w:bCs/>
          <w:kern w:val="0"/>
          <w:sz w:val="30"/>
          <w:szCs w:val="30"/>
        </w:rPr>
        <w:t>监督审核报告</w:t>
      </w:r>
    </w:p>
    <w:p>
      <w:pPr>
        <w:widowControl/>
        <w:spacing w:line="360" w:lineRule="auto"/>
        <w:rPr>
          <w:rFonts w:cs="宋体" w:asciiTheme="minorEastAsia" w:hAnsiTheme="minorEastAsia"/>
          <w:b/>
          <w:bCs/>
          <w:kern w:val="0"/>
          <w:szCs w:val="21"/>
        </w:rPr>
      </w:pPr>
      <w:r>
        <w:rPr>
          <w:rFonts w:hint="eastAsia" w:cs="宋体" w:asciiTheme="minorEastAsia" w:hAnsiTheme="minorEastAsia"/>
          <w:b/>
          <w:bCs/>
          <w:kern w:val="0"/>
          <w:szCs w:val="21"/>
        </w:rPr>
        <w:t>一、基本情况</w:t>
      </w:r>
    </w:p>
    <w:tbl>
      <w:tblPr>
        <w:tblStyle w:val="4"/>
        <w:tblW w:w="8511"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9"/>
        <w:gridCol w:w="2930"/>
        <w:gridCol w:w="1700"/>
        <w:gridCol w:w="20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bCs/>
                <w:kern w:val="0"/>
                <w:szCs w:val="21"/>
              </w:rPr>
              <w:t>企业</w:t>
            </w:r>
            <w:r>
              <w:rPr>
                <w:rFonts w:cs="宋体" w:asciiTheme="minorEastAsia" w:hAnsiTheme="minorEastAsia"/>
                <w:kern w:val="0"/>
                <w:szCs w:val="21"/>
              </w:rPr>
              <w:t>名称</w:t>
            </w:r>
          </w:p>
        </w:tc>
        <w:tc>
          <w:tcPr>
            <w:tcW w:w="2930"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bookmarkStart w:id="4" w:name="组织名称Add1"/>
            <w:r>
              <w:rPr>
                <w:rFonts w:cs="宋体" w:asciiTheme="minorEastAsia" w:hAnsiTheme="minorEastAsia"/>
                <w:kern w:val="0"/>
                <w:szCs w:val="21"/>
              </w:rPr>
              <w:t>湖南子门电子科技有限公司</w:t>
            </w:r>
            <w:bookmarkEnd w:id="4"/>
          </w:p>
        </w:tc>
        <w:tc>
          <w:tcPr>
            <w:tcW w:w="1700"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企业联系人</w:t>
            </w:r>
          </w:p>
        </w:tc>
        <w:tc>
          <w:tcPr>
            <w:tcW w:w="2032" w:type="dxa"/>
          </w:tcPr>
          <w:p>
            <w:pPr>
              <w:tabs>
                <w:tab w:val="left" w:pos="880"/>
              </w:tabs>
              <w:autoSpaceDE w:val="0"/>
              <w:autoSpaceDN w:val="0"/>
              <w:adjustRightInd w:val="0"/>
              <w:spacing w:before="35" w:line="360" w:lineRule="auto"/>
              <w:ind w:right="161" w:firstLine="420" w:firstLineChars="200"/>
              <w:rPr>
                <w:rFonts w:cs="宋体" w:asciiTheme="minorEastAsia" w:hAnsiTheme="minorEastAsia"/>
                <w:kern w:val="0"/>
                <w:szCs w:val="21"/>
              </w:rPr>
            </w:pPr>
            <w:bookmarkStart w:id="5" w:name="联系人"/>
            <w:r>
              <w:rPr>
                <w:rFonts w:cs="宋体" w:asciiTheme="minorEastAsia" w:hAnsiTheme="minorEastAsia"/>
                <w:kern w:val="0"/>
                <w:szCs w:val="21"/>
              </w:rPr>
              <w:t>谢屹立</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认证证书编号</w:t>
            </w:r>
          </w:p>
        </w:tc>
        <w:tc>
          <w:tcPr>
            <w:tcW w:w="2930"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bookmarkStart w:id="6" w:name="证书编号"/>
            <w:bookmarkEnd w:id="6"/>
            <w:r>
              <w:rPr>
                <w:rFonts w:hint="eastAsia" w:cs="宋体" w:asciiTheme="minorEastAsia" w:hAnsiTheme="minorEastAsia"/>
                <w:kern w:val="0"/>
                <w:szCs w:val="21"/>
              </w:rPr>
              <w:t>ISC-2019-0586</w:t>
            </w:r>
          </w:p>
        </w:tc>
        <w:tc>
          <w:tcPr>
            <w:tcW w:w="1700"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证书有效期</w:t>
            </w:r>
          </w:p>
        </w:tc>
        <w:tc>
          <w:tcPr>
            <w:tcW w:w="2032" w:type="dxa"/>
          </w:tcPr>
          <w:p>
            <w:pPr>
              <w:tabs>
                <w:tab w:val="left" w:pos="880"/>
              </w:tabs>
              <w:autoSpaceDE w:val="0"/>
              <w:autoSpaceDN w:val="0"/>
              <w:adjustRightInd w:val="0"/>
              <w:spacing w:before="35" w:line="360" w:lineRule="auto"/>
              <w:ind w:right="161"/>
              <w:rPr>
                <w:rFonts w:cs="宋体" w:asciiTheme="minorEastAsia" w:hAnsiTheme="minorEastAsia"/>
                <w:kern w:val="0"/>
                <w:szCs w:val="21"/>
              </w:rPr>
            </w:pPr>
            <w:bookmarkStart w:id="7" w:name="证书有效期"/>
            <w:bookmarkEnd w:id="7"/>
            <w:r>
              <w:rPr>
                <w:rFonts w:hint="eastAsia" w:cs="宋体" w:asciiTheme="minorEastAsia" w:hAnsiTheme="minorEastAsia"/>
                <w:kern w:val="0"/>
                <w:szCs w:val="21"/>
              </w:rPr>
              <w:t>2024年12月12日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监督审核次数</w:t>
            </w:r>
          </w:p>
        </w:tc>
        <w:tc>
          <w:tcPr>
            <w:tcW w:w="2930"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ascii="宋体" w:hAnsi="宋体" w:cs="宋体"/>
                <w:kern w:val="0"/>
                <w:szCs w:val="21"/>
              </w:rPr>
              <w:t>第</w:t>
            </w:r>
            <w:r>
              <w:rPr>
                <w:rFonts w:hint="eastAsia" w:ascii="宋体" w:hAnsi="宋体" w:cs="宋体"/>
                <w:kern w:val="0"/>
                <w:szCs w:val="21"/>
                <w:lang w:val="en-US" w:eastAsia="zh-CN"/>
              </w:rPr>
              <w:t>一</w:t>
            </w:r>
            <w:r>
              <w:rPr>
                <w:rFonts w:hint="eastAsia" w:ascii="宋体" w:hAnsi="宋体" w:cs="宋体"/>
                <w:kern w:val="0"/>
                <w:szCs w:val="21"/>
              </w:rPr>
              <w:t>次监督审核</w:t>
            </w:r>
          </w:p>
        </w:tc>
        <w:tc>
          <w:tcPr>
            <w:tcW w:w="1700"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本次监督</w:t>
            </w:r>
            <w:r>
              <w:rPr>
                <w:rFonts w:cs="宋体" w:asciiTheme="minorEastAsia" w:hAnsiTheme="minorEastAsia"/>
                <w:color w:val="333333"/>
                <w:kern w:val="0"/>
                <w:szCs w:val="21"/>
              </w:rPr>
              <w:t>时间</w:t>
            </w:r>
          </w:p>
        </w:tc>
        <w:tc>
          <w:tcPr>
            <w:tcW w:w="2032" w:type="dxa"/>
          </w:tcPr>
          <w:p>
            <w:pPr>
              <w:tabs>
                <w:tab w:val="left" w:pos="880"/>
              </w:tabs>
              <w:autoSpaceDE w:val="0"/>
              <w:autoSpaceDN w:val="0"/>
              <w:adjustRightInd w:val="0"/>
              <w:spacing w:before="35" w:line="360" w:lineRule="auto"/>
              <w:ind w:right="161"/>
              <w:rPr>
                <w:rFonts w:cs="宋体" w:asciiTheme="minorEastAsia" w:hAnsiTheme="minorEastAsia"/>
                <w:kern w:val="0"/>
                <w:szCs w:val="21"/>
              </w:rPr>
            </w:pPr>
            <w:bookmarkStart w:id="8" w:name="审核开始日"/>
            <w:r>
              <w:rPr>
                <w:rFonts w:cs="宋体" w:asciiTheme="minorEastAsia" w:hAnsiTheme="minorEastAsia"/>
                <w:kern w:val="0"/>
                <w:szCs w:val="21"/>
              </w:rPr>
              <w:t xml:space="preserve">2021年01月30日 </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1849" w:type="dxa"/>
            <w:vAlign w:val="center"/>
          </w:tcPr>
          <w:p>
            <w:pPr>
              <w:tabs>
                <w:tab w:val="left" w:pos="880"/>
              </w:tabs>
              <w:autoSpaceDE w:val="0"/>
              <w:autoSpaceDN w:val="0"/>
              <w:adjustRightInd w:val="0"/>
              <w:spacing w:before="35" w:line="240" w:lineRule="auto"/>
              <w:ind w:right="161" w:firstLine="105" w:firstLineChars="50"/>
              <w:jc w:val="center"/>
              <w:rPr>
                <w:rFonts w:cs="宋体" w:asciiTheme="minorEastAsia" w:hAnsiTheme="minorEastAsia"/>
                <w:kern w:val="0"/>
                <w:szCs w:val="21"/>
              </w:rPr>
            </w:pPr>
            <w:r>
              <w:rPr>
                <w:rFonts w:hint="eastAsia" w:cs="宋体" w:asciiTheme="minorEastAsia" w:hAnsiTheme="minorEastAsia"/>
                <w:kern w:val="0"/>
                <w:szCs w:val="21"/>
              </w:rPr>
              <w:t>监督审核员</w:t>
            </w:r>
          </w:p>
          <w:p>
            <w:pPr>
              <w:tabs>
                <w:tab w:val="left" w:pos="880"/>
              </w:tabs>
              <w:autoSpaceDE w:val="0"/>
              <w:autoSpaceDN w:val="0"/>
              <w:adjustRightInd w:val="0"/>
              <w:spacing w:before="35" w:line="240" w:lineRule="auto"/>
              <w:ind w:right="161" w:firstLine="105" w:firstLineChars="50"/>
              <w:jc w:val="center"/>
              <w:rPr>
                <w:rFonts w:cs="宋体" w:asciiTheme="minorEastAsia" w:hAnsiTheme="minorEastAsia"/>
                <w:kern w:val="0"/>
                <w:szCs w:val="21"/>
              </w:rPr>
            </w:pPr>
            <w:r>
              <w:rPr>
                <w:rFonts w:hint="eastAsia" w:cs="宋体" w:asciiTheme="minorEastAsia" w:hAnsiTheme="minorEastAsia"/>
                <w:kern w:val="0"/>
                <w:szCs w:val="21"/>
              </w:rPr>
              <w:t>姓名及确认号</w:t>
            </w:r>
          </w:p>
        </w:tc>
        <w:tc>
          <w:tcPr>
            <w:tcW w:w="2930" w:type="dxa"/>
            <w:vAlign w:val="center"/>
          </w:tcPr>
          <w:p>
            <w:pPr>
              <w:tabs>
                <w:tab w:val="left" w:pos="880"/>
              </w:tabs>
              <w:autoSpaceDE w:val="0"/>
              <w:autoSpaceDN w:val="0"/>
              <w:adjustRightInd w:val="0"/>
              <w:spacing w:before="35" w:line="240" w:lineRule="auto"/>
              <w:ind w:right="161"/>
              <w:jc w:val="left"/>
              <w:rPr>
                <w:rFonts w:hint="eastAsia" w:ascii="宋体" w:hAnsi="宋体"/>
                <w:color w:val="000000" w:themeColor="text1"/>
                <w:szCs w:val="21"/>
                <w:lang w:val="en-US" w:eastAsia="zh-CN"/>
              </w:rPr>
            </w:pPr>
            <w:r>
              <w:rPr>
                <w:rFonts w:hint="eastAsia" w:ascii="宋体" w:hAnsi="宋体"/>
                <w:color w:val="000000" w:themeColor="text1"/>
                <w:szCs w:val="21"/>
                <w:lang w:val="en-US" w:eastAsia="zh-CN"/>
              </w:rPr>
              <w:t>李学弘</w:t>
            </w:r>
          </w:p>
          <w:p>
            <w:pPr>
              <w:tabs>
                <w:tab w:val="left" w:pos="880"/>
              </w:tabs>
              <w:autoSpaceDE w:val="0"/>
              <w:autoSpaceDN w:val="0"/>
              <w:adjustRightInd w:val="0"/>
              <w:spacing w:before="35" w:line="240" w:lineRule="auto"/>
              <w:ind w:right="161"/>
              <w:jc w:val="left"/>
              <w:rPr>
                <w:rFonts w:cs="宋体" w:asciiTheme="minorEastAsia" w:hAnsiTheme="minorEastAsia"/>
                <w:kern w:val="0"/>
                <w:szCs w:val="21"/>
              </w:rPr>
            </w:pPr>
            <w:r>
              <w:rPr>
                <w:rFonts w:hint="eastAsia" w:ascii="宋体" w:hAnsi="宋体"/>
                <w:color w:val="000000" w:themeColor="text1"/>
                <w:szCs w:val="21"/>
              </w:rPr>
              <w:t>中认协评[2019]106 号 ISC[S]011</w:t>
            </w:r>
            <w:r>
              <w:rPr>
                <w:rFonts w:hint="eastAsia" w:ascii="宋体" w:hAnsi="宋体"/>
                <w:color w:val="000000" w:themeColor="text1"/>
                <w:szCs w:val="21"/>
                <w:lang w:val="en-US" w:eastAsia="zh-CN"/>
              </w:rPr>
              <w:t>7</w:t>
            </w:r>
          </w:p>
        </w:tc>
        <w:tc>
          <w:tcPr>
            <w:tcW w:w="1700" w:type="dxa"/>
            <w:vAlign w:val="center"/>
          </w:tcPr>
          <w:p>
            <w:pPr>
              <w:tabs>
                <w:tab w:val="left" w:pos="880"/>
              </w:tabs>
              <w:autoSpaceDE w:val="0"/>
              <w:autoSpaceDN w:val="0"/>
              <w:adjustRightInd w:val="0"/>
              <w:spacing w:before="35" w:line="240" w:lineRule="auto"/>
              <w:ind w:right="161"/>
              <w:jc w:val="center"/>
              <w:rPr>
                <w:rFonts w:cs="宋体" w:asciiTheme="minorEastAsia" w:hAnsiTheme="minorEastAsia"/>
                <w:kern w:val="0"/>
                <w:szCs w:val="21"/>
              </w:rPr>
            </w:pPr>
            <w:r>
              <w:rPr>
                <w:rFonts w:cs="宋体" w:asciiTheme="minorEastAsia" w:hAnsiTheme="minorEastAsia"/>
                <w:bCs/>
                <w:kern w:val="0"/>
                <w:szCs w:val="21"/>
              </w:rPr>
              <w:t>监督审核涉及的区域或部门</w:t>
            </w:r>
          </w:p>
        </w:tc>
        <w:tc>
          <w:tcPr>
            <w:tcW w:w="2032" w:type="dxa"/>
            <w:vAlign w:val="center"/>
          </w:tcPr>
          <w:p>
            <w:pPr>
              <w:tabs>
                <w:tab w:val="left" w:pos="880"/>
              </w:tabs>
              <w:autoSpaceDE w:val="0"/>
              <w:autoSpaceDN w:val="0"/>
              <w:adjustRightInd w:val="0"/>
              <w:spacing w:before="35" w:line="240" w:lineRule="auto"/>
              <w:ind w:right="161"/>
              <w:jc w:val="center"/>
              <w:rPr>
                <w:rFonts w:cs="宋体" w:asciiTheme="minorEastAsia" w:hAnsiTheme="minorEastAsia"/>
                <w:kern w:val="0"/>
                <w:szCs w:val="21"/>
              </w:rPr>
            </w:pPr>
            <w:r>
              <w:rPr>
                <w:rFonts w:hint="eastAsia" w:ascii="宋体" w:hAnsi="宋体"/>
                <w:szCs w:val="21"/>
                <w:lang w:val="en-US" w:eastAsia="zh-CN"/>
              </w:rPr>
              <w:t>管理层、业务部、财务部、生产部</w:t>
            </w:r>
          </w:p>
        </w:tc>
      </w:tr>
    </w:tbl>
    <w:p>
      <w:pPr>
        <w:widowControl/>
        <w:spacing w:line="360" w:lineRule="auto"/>
        <w:rPr>
          <w:rFonts w:cs="宋体" w:asciiTheme="minorEastAsia" w:hAnsiTheme="minorEastAsia"/>
          <w:kern w:val="0"/>
          <w:szCs w:val="21"/>
        </w:rPr>
      </w:pPr>
      <w:r>
        <w:rPr>
          <w:rFonts w:hint="eastAsia" w:cs="宋体" w:asciiTheme="minorEastAsia" w:hAnsiTheme="minorEastAsia"/>
          <w:b/>
          <w:bCs/>
          <w:kern w:val="0"/>
          <w:szCs w:val="21"/>
        </w:rPr>
        <w:t>二、</w:t>
      </w:r>
      <w:r>
        <w:rPr>
          <w:rFonts w:cs="宋体" w:asciiTheme="minorEastAsia" w:hAnsiTheme="minorEastAsia"/>
          <w:b/>
          <w:bCs/>
          <w:kern w:val="0"/>
          <w:szCs w:val="21"/>
        </w:rPr>
        <w:t>监督审核</w:t>
      </w:r>
      <w:r>
        <w:rPr>
          <w:rFonts w:hint="eastAsia" w:cs="宋体" w:asciiTheme="minorEastAsia" w:hAnsiTheme="minorEastAsia"/>
          <w:b/>
          <w:bCs/>
          <w:kern w:val="0"/>
          <w:szCs w:val="21"/>
        </w:rPr>
        <w:t>内容</w:t>
      </w:r>
      <w:r>
        <w:rPr>
          <w:rFonts w:hint="eastAsia" w:cs="宋体" w:asciiTheme="minorEastAsia" w:hAnsiTheme="minorEastAsia"/>
          <w:bCs/>
          <w:kern w:val="0"/>
          <w:szCs w:val="21"/>
        </w:rPr>
        <w:t>：</w:t>
      </w:r>
    </w:p>
    <w:p>
      <w:pPr>
        <w:widowControl/>
        <w:spacing w:line="276" w:lineRule="auto"/>
        <w:rPr>
          <w:rFonts w:cs="宋体" w:asciiTheme="minorEastAsia" w:hAnsiTheme="minorEastAsia"/>
          <w:bCs/>
          <w:kern w:val="0"/>
          <w:szCs w:val="21"/>
        </w:rPr>
      </w:pPr>
      <w:r>
        <w:rPr>
          <w:rFonts w:hint="eastAsia" w:cs="宋体" w:asciiTheme="minorEastAsia" w:hAnsiTheme="minorEastAsia"/>
          <w:bCs/>
          <w:kern w:val="0"/>
          <w:szCs w:val="21"/>
        </w:rPr>
        <w:t>1.</w:t>
      </w:r>
      <w:r>
        <w:rPr>
          <w:rFonts w:cs="宋体" w:asciiTheme="minorEastAsia" w:hAnsiTheme="minorEastAsia"/>
          <w:bCs/>
          <w:kern w:val="0"/>
          <w:szCs w:val="21"/>
        </w:rPr>
        <w:t>一年内违反法律法规</w:t>
      </w:r>
      <w:r>
        <w:rPr>
          <w:rFonts w:hint="eastAsia" w:cs="宋体" w:asciiTheme="minorEastAsia" w:hAnsiTheme="minorEastAsia"/>
          <w:bCs/>
          <w:kern w:val="0"/>
          <w:szCs w:val="21"/>
        </w:rPr>
        <w:t>或</w:t>
      </w:r>
      <w:r>
        <w:rPr>
          <w:rFonts w:cs="宋体" w:asciiTheme="minorEastAsia" w:hAnsiTheme="minorEastAsia"/>
          <w:bCs/>
          <w:kern w:val="0"/>
          <w:szCs w:val="21"/>
        </w:rPr>
        <w:t>重大事故的情况：</w:t>
      </w:r>
    </w:p>
    <w:p>
      <w:pPr>
        <w:widowControl/>
        <w:spacing w:line="400" w:lineRule="exact"/>
        <w:ind w:firstLine="420" w:firstLineChars="200"/>
      </w:pPr>
      <w:r>
        <w:rPr>
          <w:rFonts w:ascii="宋体" w:hAnsi="宋体" w:cs="宋体"/>
          <w:bCs/>
          <w:kern w:val="0"/>
          <w:szCs w:val="21"/>
        </w:rPr>
        <w:t>一年内</w:t>
      </w:r>
      <w:r>
        <w:rPr>
          <w:rFonts w:hint="eastAsia" w:ascii="宋体" w:hAnsi="宋体" w:cs="宋体"/>
          <w:bCs/>
          <w:kern w:val="0"/>
          <w:szCs w:val="21"/>
        </w:rPr>
        <w:t>，</w:t>
      </w:r>
      <w:r>
        <w:rPr>
          <w:rFonts w:hint="eastAsia" w:ascii="宋体" w:hAnsi="宋体"/>
          <w:szCs w:val="21"/>
        </w:rPr>
        <w:t>公司</w:t>
      </w:r>
      <w:r>
        <w:rPr>
          <w:rFonts w:hint="eastAsia"/>
          <w:bCs/>
          <w:szCs w:val="21"/>
        </w:rPr>
        <w:t>日常运行中生产、经营、安全、销售及行政管理方面，未出现</w:t>
      </w:r>
      <w:r>
        <w:rPr>
          <w:rFonts w:ascii="宋体" w:hAnsi="宋体" w:cs="宋体"/>
          <w:bCs/>
          <w:kern w:val="0"/>
          <w:szCs w:val="21"/>
        </w:rPr>
        <w:t>违反法律</w:t>
      </w:r>
      <w:r>
        <w:rPr>
          <w:rFonts w:hint="eastAsia" w:ascii="宋体" w:hAnsi="宋体" w:cs="宋体"/>
          <w:bCs/>
          <w:kern w:val="0"/>
          <w:szCs w:val="21"/>
        </w:rPr>
        <w:t>、</w:t>
      </w:r>
      <w:r>
        <w:rPr>
          <w:rFonts w:ascii="宋体" w:hAnsi="宋体" w:cs="宋体"/>
          <w:bCs/>
          <w:kern w:val="0"/>
          <w:szCs w:val="21"/>
        </w:rPr>
        <w:t>法规</w:t>
      </w:r>
      <w:r>
        <w:rPr>
          <w:rFonts w:hint="eastAsia" w:ascii="宋体" w:hAnsi="宋体" w:cs="宋体"/>
          <w:bCs/>
          <w:kern w:val="0"/>
          <w:szCs w:val="21"/>
        </w:rPr>
        <w:t>问题或</w:t>
      </w:r>
      <w:r>
        <w:rPr>
          <w:rFonts w:ascii="宋体" w:hAnsi="宋体" w:cs="宋体"/>
          <w:bCs/>
          <w:kern w:val="0"/>
          <w:szCs w:val="21"/>
        </w:rPr>
        <w:t>重大事故</w:t>
      </w:r>
      <w:r>
        <w:rPr>
          <w:rFonts w:hint="eastAsia" w:ascii="宋体" w:hAnsi="宋体" w:cs="宋体"/>
          <w:bCs/>
          <w:kern w:val="0"/>
          <w:szCs w:val="21"/>
        </w:rPr>
        <w:t>发生</w:t>
      </w:r>
      <w:r>
        <w:rPr>
          <w:rFonts w:hint="eastAsia" w:ascii="宋体" w:hAnsi="宋体" w:cs="宋体"/>
          <w:bCs/>
          <w:kern w:val="0"/>
          <w:szCs w:val="21"/>
          <w:lang w:val="en-US" w:eastAsia="zh-CN"/>
        </w:rPr>
        <w:t>,</w:t>
      </w:r>
      <w:r>
        <w:rPr>
          <w:rFonts w:hint="eastAsia" w:ascii="宋体" w:hAnsi="宋体" w:cs="宋体"/>
          <w:bCs/>
          <w:kern w:val="0"/>
          <w:szCs w:val="21"/>
        </w:rPr>
        <w:t>满足要求</w:t>
      </w:r>
      <w:r>
        <w:rPr>
          <w:rFonts w:hint="eastAsia" w:ascii="宋体" w:hAnsi="宋体" w:cs="宋体"/>
          <w:bCs/>
          <w:kern w:val="0"/>
          <w:szCs w:val="21"/>
          <w:lang w:eastAsia="zh-CN"/>
        </w:rPr>
        <w:t>。</w:t>
      </w:r>
    </w:p>
    <w:p>
      <w:pPr>
        <w:widowControl/>
        <w:numPr>
          <w:ilvl w:val="0"/>
          <w:numId w:val="1"/>
        </w:numPr>
        <w:spacing w:line="276" w:lineRule="auto"/>
        <w:rPr>
          <w:rFonts w:cs="宋体" w:asciiTheme="minorEastAsia" w:hAnsiTheme="minorEastAsia"/>
          <w:bCs/>
          <w:kern w:val="0"/>
          <w:szCs w:val="21"/>
        </w:rPr>
      </w:pPr>
      <w:r>
        <w:rPr>
          <w:rFonts w:cs="宋体" w:asciiTheme="minorEastAsia" w:hAnsiTheme="minorEastAsia"/>
          <w:bCs/>
          <w:kern w:val="0"/>
          <w:szCs w:val="21"/>
        </w:rPr>
        <w:t>监督审核过程简述：</w:t>
      </w:r>
    </w:p>
    <w:p>
      <w:pPr>
        <w:widowControl/>
        <w:spacing w:line="400" w:lineRule="exact"/>
        <w:ind w:firstLine="420" w:firstLineChars="200"/>
        <w:rPr>
          <w:rFonts w:hint="eastAsia" w:ascii="宋体" w:hAnsi="宋体"/>
          <w:szCs w:val="21"/>
          <w:lang w:eastAsia="zh-CN"/>
        </w:rPr>
      </w:pPr>
      <w:r>
        <w:rPr>
          <w:rFonts w:hint="eastAsia" w:ascii="宋体" w:hAnsi="宋体" w:cs="宋体"/>
          <w:bCs/>
          <w:kern w:val="0"/>
          <w:szCs w:val="21"/>
        </w:rPr>
        <w:t>为有效评价公司测量管理体系认证后</w:t>
      </w:r>
      <w:r>
        <w:rPr>
          <w:rFonts w:hint="eastAsia" w:ascii="宋体" w:hAnsi="宋体" w:cs="宋体"/>
          <w:bCs/>
          <w:kern w:val="0"/>
          <w:szCs w:val="21"/>
          <w:lang w:val="en-US" w:eastAsia="zh-CN"/>
        </w:rPr>
        <w:t>一</w:t>
      </w:r>
      <w:r>
        <w:rPr>
          <w:rFonts w:hint="eastAsia" w:ascii="宋体" w:hAnsi="宋体" w:cs="宋体"/>
          <w:bCs/>
          <w:kern w:val="0"/>
          <w:szCs w:val="21"/>
        </w:rPr>
        <w:t>年以来运行情况，20</w:t>
      </w:r>
      <w:r>
        <w:rPr>
          <w:rFonts w:hint="eastAsia" w:ascii="宋体" w:hAnsi="宋体" w:cs="宋体"/>
          <w:bCs/>
          <w:kern w:val="0"/>
          <w:szCs w:val="21"/>
          <w:lang w:val="en-US" w:eastAsia="zh-CN"/>
        </w:rPr>
        <w:t>21</w:t>
      </w:r>
      <w:r>
        <w:rPr>
          <w:rFonts w:hint="eastAsia" w:ascii="宋体" w:hAnsi="宋体" w:cs="宋体"/>
          <w:bCs/>
          <w:kern w:val="0"/>
          <w:szCs w:val="21"/>
        </w:rPr>
        <w:t>年</w:t>
      </w:r>
      <w:r>
        <w:rPr>
          <w:rFonts w:hint="eastAsia" w:ascii="宋体" w:hAnsi="宋体" w:cs="宋体"/>
          <w:bCs/>
          <w:kern w:val="0"/>
          <w:szCs w:val="21"/>
          <w:lang w:val="en-US" w:eastAsia="zh-CN"/>
        </w:rPr>
        <w:t>1</w:t>
      </w:r>
      <w:r>
        <w:rPr>
          <w:rFonts w:hint="eastAsia" w:ascii="宋体" w:hAnsi="宋体" w:cs="宋体"/>
          <w:bCs/>
          <w:kern w:val="0"/>
          <w:szCs w:val="21"/>
        </w:rPr>
        <w:t>月</w:t>
      </w:r>
      <w:r>
        <w:rPr>
          <w:rFonts w:hint="eastAsia" w:ascii="宋体" w:hAnsi="宋体" w:cs="宋体"/>
          <w:bCs/>
          <w:kern w:val="0"/>
          <w:szCs w:val="21"/>
          <w:lang w:val="en-US" w:eastAsia="zh-CN"/>
        </w:rPr>
        <w:t>30</w:t>
      </w:r>
      <w:r>
        <w:rPr>
          <w:rFonts w:hint="eastAsia" w:ascii="宋体" w:hAnsi="宋体" w:cs="宋体"/>
          <w:bCs/>
          <w:kern w:val="0"/>
          <w:szCs w:val="21"/>
        </w:rPr>
        <w:t>日，</w:t>
      </w:r>
      <w:r>
        <w:rPr>
          <w:rFonts w:hint="eastAsia" w:ascii="宋体" w:hAnsi="宋体" w:cs="宋体"/>
          <w:bCs/>
          <w:kern w:val="0"/>
          <w:szCs w:val="21"/>
          <w:lang w:eastAsia="zh-CN"/>
        </w:rPr>
        <w:t>审</w:t>
      </w:r>
      <w:r>
        <w:rPr>
          <w:rFonts w:hint="eastAsia" w:ascii="宋体" w:hAnsi="宋体"/>
          <w:szCs w:val="21"/>
          <w:lang w:eastAsia="zh-CN"/>
        </w:rPr>
        <w:t>核组</w:t>
      </w:r>
      <w:r>
        <w:rPr>
          <w:rFonts w:ascii="宋体" w:hAnsi="宋体"/>
          <w:szCs w:val="21"/>
        </w:rPr>
        <w:t>对该公司的体系文件进行了版本</w:t>
      </w:r>
      <w:r>
        <w:rPr>
          <w:rFonts w:hint="eastAsia" w:ascii="宋体" w:hAnsi="宋体"/>
          <w:szCs w:val="21"/>
        </w:rPr>
        <w:t>（A/0）</w:t>
      </w:r>
      <w:r>
        <w:rPr>
          <w:rFonts w:ascii="宋体" w:hAnsi="宋体"/>
          <w:szCs w:val="21"/>
        </w:rPr>
        <w:t>确认，</w:t>
      </w:r>
      <w:r>
        <w:rPr>
          <w:rFonts w:hint="eastAsia" w:ascii="宋体" w:hAnsi="宋体"/>
          <w:szCs w:val="21"/>
          <w:lang w:eastAsia="zh-CN"/>
        </w:rPr>
        <w:t>在</w:t>
      </w:r>
      <w:r>
        <w:rPr>
          <w:rFonts w:hint="eastAsia" w:ascii="宋体" w:hAnsi="宋体" w:cs="宋体"/>
          <w:bCs/>
          <w:kern w:val="0"/>
          <w:szCs w:val="21"/>
        </w:rPr>
        <w:t>现场审核中，审核组先、后抽样检查了涉及公司测量体系内的管理、生产、经营、质量和环境等方面的</w:t>
      </w:r>
      <w:r>
        <w:rPr>
          <w:rFonts w:hint="eastAsia" w:ascii="宋体" w:hAnsi="宋体" w:cs="宋体"/>
          <w:bCs/>
          <w:kern w:val="0"/>
          <w:szCs w:val="21"/>
          <w:lang w:val="en-US" w:eastAsia="zh-CN"/>
        </w:rPr>
        <w:t>3</w:t>
      </w:r>
      <w:r>
        <w:rPr>
          <w:rFonts w:hint="eastAsia" w:ascii="宋体" w:hAnsi="宋体" w:cs="宋体"/>
          <w:bCs/>
          <w:kern w:val="0"/>
          <w:szCs w:val="21"/>
        </w:rPr>
        <w:t>个职能部门，该企业不是重点耗能单位，企业的能源计量器具的配备率及准确度等级均满足G</w:t>
      </w:r>
      <w:r>
        <w:rPr>
          <w:rFonts w:ascii="宋体" w:hAnsi="宋体" w:cs="宋体"/>
          <w:bCs/>
          <w:kern w:val="0"/>
          <w:szCs w:val="21"/>
        </w:rPr>
        <w:t>B17167-2006</w:t>
      </w:r>
      <w:r>
        <w:rPr>
          <w:rFonts w:hint="eastAsia" w:ascii="宋体" w:hAnsi="宋体" w:cs="宋体"/>
          <w:bCs/>
          <w:kern w:val="0"/>
          <w:szCs w:val="21"/>
        </w:rPr>
        <w:t>标准要求。重点抽查</w:t>
      </w:r>
      <w:r>
        <w:rPr>
          <w:rFonts w:hint="eastAsia" w:ascii="宋体" w:hAnsi="宋体"/>
          <w:szCs w:val="21"/>
        </w:rPr>
        <w:t>了公司</w:t>
      </w:r>
      <w:r>
        <w:rPr>
          <w:rFonts w:hint="eastAsia" w:ascii="宋体" w:hAnsi="宋体" w:eastAsia="宋体" w:cs="Times New Roman"/>
          <w:szCs w:val="21"/>
        </w:rPr>
        <w:t>产品</w:t>
      </w:r>
      <w:r>
        <w:rPr>
          <w:rFonts w:hint="eastAsia" w:ascii="宋体" w:hAnsi="宋体" w:eastAsia="宋体" w:cs="Times New Roman"/>
          <w:szCs w:val="21"/>
          <w:lang w:eastAsia="zh-CN"/>
        </w:rPr>
        <w:t>中</w:t>
      </w:r>
      <w:r>
        <w:rPr>
          <w:rFonts w:hint="eastAsia" w:ascii="宋体" w:hAnsi="宋体"/>
          <w:szCs w:val="21"/>
        </w:rPr>
        <w:t>计量特征突出的重要环节</w:t>
      </w:r>
      <w:r>
        <w:rPr>
          <w:rFonts w:hint="eastAsia" w:ascii="宋体" w:hAnsi="宋体"/>
          <w:szCs w:val="21"/>
          <w:lang w:eastAsia="zh-CN"/>
        </w:rPr>
        <w:t>，</w:t>
      </w:r>
      <w:r>
        <w:rPr>
          <w:rFonts w:hint="eastAsia" w:ascii="宋体" w:hAnsi="宋体" w:cs="宋体"/>
          <w:kern w:val="0"/>
          <w:szCs w:val="21"/>
          <w:lang w:eastAsia="zh-CN"/>
        </w:rPr>
        <w:t>涉及公司生产、质量、安全和环境管理等。</w:t>
      </w:r>
      <w:r>
        <w:rPr>
          <w:rFonts w:hint="eastAsia" w:ascii="宋体" w:hAnsi="宋体"/>
          <w:szCs w:val="21"/>
          <w:lang w:eastAsia="zh-CN"/>
        </w:rPr>
        <w:t>为有效评价公司体系运行的质量，审核组重点检查了公司计量特征突出的重要环节冷水水表压力试验等测量过程，掌握了企业测量管理体系的运行状况和品质。</w:t>
      </w:r>
    </w:p>
    <w:p>
      <w:pPr>
        <w:widowControl/>
        <w:spacing w:line="360" w:lineRule="auto"/>
        <w:ind w:firstLine="420" w:firstLineChars="200"/>
      </w:pPr>
      <w:r>
        <w:rPr>
          <w:rFonts w:hint="eastAsia" w:ascii="宋体" w:hAnsi="宋体"/>
          <w:szCs w:val="21"/>
        </w:rPr>
        <w:t xml:space="preserve">公司测量管理体系的符合性、有效性及持续改进，符合GB/T 19022-2003标准要求，公司测量管理体系正常有序运行，较好地满足了公司生产、销售和持续发展的需要。 </w:t>
      </w:r>
    </w:p>
    <w:p>
      <w:pPr>
        <w:widowControl/>
        <w:numPr>
          <w:ilvl w:val="0"/>
          <w:numId w:val="1"/>
        </w:numPr>
        <w:spacing w:line="360" w:lineRule="auto"/>
        <w:ind w:left="0" w:leftChars="0" w:firstLine="0" w:firstLineChars="0"/>
        <w:rPr>
          <w:rFonts w:cs="宋体" w:asciiTheme="minorEastAsia" w:hAnsiTheme="minorEastAsia"/>
          <w:bCs/>
          <w:kern w:val="0"/>
          <w:szCs w:val="21"/>
        </w:rPr>
      </w:pPr>
      <w:r>
        <w:rPr>
          <w:rFonts w:hint="eastAsia" w:asciiTheme="minorEastAsia" w:hAnsiTheme="minorEastAsia"/>
          <w:bCs/>
          <w:szCs w:val="21"/>
        </w:rPr>
        <w:t>内部审核和管理评审</w:t>
      </w:r>
      <w:r>
        <w:rPr>
          <w:rFonts w:cs="宋体" w:asciiTheme="minorEastAsia" w:hAnsiTheme="minorEastAsia"/>
          <w:bCs/>
          <w:kern w:val="0"/>
          <w:szCs w:val="21"/>
        </w:rPr>
        <w:t>的情况：</w:t>
      </w:r>
    </w:p>
    <w:p>
      <w:pPr>
        <w:widowControl/>
        <w:spacing w:line="400" w:lineRule="exact"/>
        <w:ind w:firstLine="420" w:firstLineChars="200"/>
        <w:rPr>
          <w:rFonts w:hint="eastAsia" w:ascii="宋体" w:hAnsi="宋体"/>
          <w:szCs w:val="21"/>
        </w:rPr>
      </w:pPr>
      <w:r>
        <w:rPr>
          <w:rFonts w:hint="eastAsia" w:ascii="宋体" w:hAnsi="宋体"/>
          <w:szCs w:val="21"/>
        </w:rPr>
        <w:t>在审核在审核过程中了解到，该公司于</w:t>
      </w:r>
      <w:r>
        <w:rPr>
          <w:rFonts w:hint="eastAsia" w:ascii="宋体" w:hAnsi="宋体"/>
          <w:bCs/>
          <w:color w:val="000000"/>
          <w:szCs w:val="21"/>
        </w:rPr>
        <w:t>20</w:t>
      </w:r>
      <w:r>
        <w:rPr>
          <w:rFonts w:hint="eastAsia" w:ascii="宋体" w:hAnsi="宋体"/>
          <w:bCs/>
          <w:color w:val="000000"/>
          <w:szCs w:val="21"/>
          <w:lang w:val="en-US" w:eastAsia="zh-CN"/>
        </w:rPr>
        <w:t>20</w:t>
      </w:r>
      <w:r>
        <w:rPr>
          <w:rFonts w:hint="eastAsia" w:ascii="宋体" w:hAnsi="宋体"/>
          <w:bCs/>
          <w:color w:val="000000"/>
          <w:szCs w:val="21"/>
        </w:rPr>
        <w:t>年</w:t>
      </w:r>
      <w:r>
        <w:rPr>
          <w:rFonts w:hint="eastAsia" w:ascii="宋体" w:hAnsi="宋体"/>
          <w:bCs/>
          <w:color w:val="000000"/>
          <w:szCs w:val="21"/>
          <w:lang w:val="en-US" w:eastAsia="zh-CN"/>
        </w:rPr>
        <w:t>10</w:t>
      </w:r>
      <w:r>
        <w:rPr>
          <w:rFonts w:hint="eastAsia" w:ascii="宋体" w:hAnsi="宋体"/>
          <w:bCs/>
          <w:color w:val="000000"/>
          <w:szCs w:val="21"/>
        </w:rPr>
        <w:t>月</w:t>
      </w:r>
      <w:r>
        <w:rPr>
          <w:rFonts w:hint="eastAsia" w:ascii="宋体" w:hAnsi="宋体"/>
          <w:bCs/>
          <w:color w:val="000000"/>
          <w:szCs w:val="21"/>
          <w:lang w:val="en-US" w:eastAsia="zh-CN"/>
        </w:rPr>
        <w:t>15</w:t>
      </w:r>
      <w:r>
        <w:rPr>
          <w:rFonts w:hint="eastAsia" w:ascii="宋体" w:hAnsi="宋体"/>
          <w:bCs/>
          <w:color w:val="000000"/>
          <w:szCs w:val="21"/>
        </w:rPr>
        <w:t>日</w:t>
      </w:r>
      <w:r>
        <w:rPr>
          <w:rFonts w:hint="eastAsia" w:ascii="宋体" w:hAnsi="宋体"/>
          <w:szCs w:val="21"/>
        </w:rPr>
        <w:t xml:space="preserve"> 组织了内部审核，对内审中提出的</w:t>
      </w:r>
      <w:r>
        <w:rPr>
          <w:rFonts w:hint="eastAsia" w:ascii="宋体" w:hAnsi="宋体"/>
          <w:szCs w:val="21"/>
          <w:lang w:val="en-US" w:eastAsia="zh-CN"/>
        </w:rPr>
        <w:t>1</w:t>
      </w:r>
      <w:r>
        <w:rPr>
          <w:rFonts w:hint="eastAsia" w:ascii="宋体" w:hAnsi="宋体"/>
          <w:szCs w:val="21"/>
        </w:rPr>
        <w:t>项不符合制定了纠正措施，并</w:t>
      </w:r>
      <w:r>
        <w:rPr>
          <w:rFonts w:hint="eastAsia" w:ascii="宋体" w:hAnsi="宋体"/>
          <w:szCs w:val="21"/>
          <w:lang w:eastAsia="zh-CN"/>
        </w:rPr>
        <w:t>已于</w:t>
      </w:r>
      <w:r>
        <w:rPr>
          <w:rFonts w:hint="eastAsia" w:ascii="宋体" w:hAnsi="宋体"/>
          <w:szCs w:val="21"/>
        </w:rPr>
        <w:t>20</w:t>
      </w:r>
      <w:r>
        <w:rPr>
          <w:rFonts w:hint="eastAsia" w:ascii="宋体" w:hAnsi="宋体"/>
          <w:szCs w:val="21"/>
          <w:lang w:val="en-US" w:eastAsia="zh-CN"/>
        </w:rPr>
        <w:t>20</w:t>
      </w:r>
      <w:r>
        <w:rPr>
          <w:rFonts w:hint="eastAsia" w:ascii="宋体" w:hAnsi="宋体"/>
          <w:szCs w:val="21"/>
        </w:rPr>
        <w:t>年</w:t>
      </w:r>
      <w:r>
        <w:rPr>
          <w:rFonts w:hint="eastAsia" w:ascii="宋体" w:hAnsi="宋体"/>
          <w:szCs w:val="21"/>
          <w:lang w:val="en-US" w:eastAsia="zh-CN"/>
        </w:rPr>
        <w:t>10</w:t>
      </w:r>
      <w:r>
        <w:rPr>
          <w:rFonts w:hint="eastAsia" w:ascii="宋体" w:hAnsi="宋体"/>
          <w:szCs w:val="21"/>
        </w:rPr>
        <w:t>月</w:t>
      </w:r>
      <w:r>
        <w:rPr>
          <w:rFonts w:hint="eastAsia" w:ascii="宋体" w:hAnsi="宋体"/>
          <w:szCs w:val="21"/>
          <w:lang w:val="en-US" w:eastAsia="zh-CN"/>
        </w:rPr>
        <w:t>28</w:t>
      </w:r>
      <w:r>
        <w:rPr>
          <w:rFonts w:hint="eastAsia" w:ascii="宋体" w:hAnsi="宋体"/>
          <w:szCs w:val="21"/>
        </w:rPr>
        <w:t>日进行了整改。</w:t>
      </w:r>
      <w:r>
        <w:rPr>
          <w:rFonts w:hint="eastAsia" w:ascii="宋体" w:cs="宋体"/>
          <w:kern w:val="0"/>
          <w:szCs w:val="21"/>
          <w:lang w:val="en-US" w:eastAsia="zh-CN"/>
        </w:rPr>
        <w:t>2020年10月30日</w:t>
      </w:r>
      <w:r>
        <w:rPr>
          <w:rFonts w:hint="eastAsia" w:ascii="宋体" w:hAnsi="宋体"/>
          <w:szCs w:val="21"/>
        </w:rPr>
        <w:t>日进行了管理评审，对测量管理体系进行了有效评价，确保了测量管理体系的运行质量。</w:t>
      </w:r>
    </w:p>
    <w:p>
      <w:pPr>
        <w:widowControl/>
        <w:spacing w:line="400" w:lineRule="exact"/>
        <w:rPr>
          <w:rFonts w:hint="eastAsia" w:ascii="宋体" w:hAnsi="宋体"/>
          <w:szCs w:val="21"/>
        </w:rPr>
      </w:pPr>
      <w:r>
        <w:rPr>
          <w:rFonts w:hint="eastAsia" w:ascii="宋体" w:hAnsi="宋体"/>
          <w:szCs w:val="21"/>
        </w:rPr>
        <w:t>4.为持续改进而策划的活动的进展，包括：</w:t>
      </w:r>
    </w:p>
    <w:p>
      <w:pPr>
        <w:widowControl/>
        <w:spacing w:line="360" w:lineRule="auto"/>
        <w:rPr>
          <w:rFonts w:hint="eastAsia" w:ascii="宋体" w:hAnsi="宋体" w:cs="宋体"/>
          <w:kern w:val="0"/>
          <w:szCs w:val="21"/>
        </w:rPr>
      </w:pPr>
      <w:r>
        <w:rPr>
          <w:rFonts w:hint="eastAsia" w:ascii="宋体" w:hAnsi="宋体" w:cs="宋体"/>
          <w:kern w:val="0"/>
          <w:szCs w:val="21"/>
        </w:rPr>
        <w:t>4.1</w:t>
      </w:r>
      <w:r>
        <w:rPr>
          <w:rFonts w:ascii="宋体" w:hAnsi="宋体" w:cs="宋体"/>
          <w:kern w:val="0"/>
          <w:szCs w:val="21"/>
        </w:rPr>
        <w:t xml:space="preserve"> </w:t>
      </w:r>
      <w:r>
        <w:rPr>
          <w:rFonts w:hint="eastAsia" w:ascii="宋体" w:hAnsi="宋体" w:cs="宋体"/>
          <w:kern w:val="0"/>
          <w:szCs w:val="21"/>
          <w:lang w:eastAsia="zh-CN"/>
        </w:rPr>
        <w:t>湖南子门电子科技有限公司</w:t>
      </w:r>
      <w:r>
        <w:rPr>
          <w:rFonts w:hint="eastAsia" w:ascii="宋体" w:hAnsi="宋体" w:cs="宋体"/>
          <w:kern w:val="0"/>
          <w:szCs w:val="21"/>
        </w:rPr>
        <w:t>领导层重视测量管理体系各项工作，职能部门职能作用发挥较好，建立的测量管理体系，运行正常，并持续符合相关法律、法规的要求；</w:t>
      </w:r>
    </w:p>
    <w:p>
      <w:pPr>
        <w:widowControl/>
        <w:spacing w:line="360" w:lineRule="auto"/>
        <w:ind w:firstLine="420" w:firstLineChars="200"/>
        <w:rPr>
          <w:rFonts w:ascii="宋体" w:hAnsi="宋体" w:cs="宋体"/>
          <w:kern w:val="0"/>
          <w:szCs w:val="21"/>
        </w:rPr>
      </w:pPr>
      <w:r>
        <w:rPr>
          <w:rFonts w:hint="eastAsia" w:ascii="宋体" w:hAnsi="宋体" w:cs="宋体"/>
          <w:kern w:val="0"/>
          <w:szCs w:val="21"/>
        </w:rPr>
        <w:t xml:space="preserve">4.2 </w:t>
      </w:r>
      <w:r>
        <w:rPr>
          <w:rFonts w:ascii="宋体" w:hAnsi="宋体" w:cs="宋体"/>
          <w:kern w:val="0"/>
          <w:szCs w:val="21"/>
        </w:rPr>
        <w:t xml:space="preserve"> </w:t>
      </w:r>
      <w:r>
        <w:rPr>
          <w:rFonts w:hint="eastAsia" w:ascii="宋体" w:hAnsi="宋体" w:cs="宋体"/>
          <w:kern w:val="0"/>
          <w:szCs w:val="21"/>
        </w:rPr>
        <w:t>20</w:t>
      </w:r>
      <w:r>
        <w:rPr>
          <w:rFonts w:hint="eastAsia" w:ascii="宋体" w:hAnsi="宋体" w:cs="宋体"/>
          <w:kern w:val="0"/>
          <w:szCs w:val="21"/>
          <w:lang w:val="en-US" w:eastAsia="zh-CN"/>
        </w:rPr>
        <w:t>20</w:t>
      </w:r>
      <w:r>
        <w:rPr>
          <w:rFonts w:hint="eastAsia" w:ascii="宋体" w:hAnsi="宋体" w:cs="宋体"/>
          <w:kern w:val="0"/>
          <w:szCs w:val="21"/>
        </w:rPr>
        <w:t>年质量目标考核细则已确认，并按规定的内容和时间进行考核，年度质量目标完成情况较好；</w:t>
      </w:r>
    </w:p>
    <w:p>
      <w:pPr>
        <w:widowControl/>
        <w:spacing w:line="360" w:lineRule="auto"/>
        <w:ind w:firstLine="420" w:firstLineChars="200"/>
        <w:rPr>
          <w:rFonts w:hint="eastAsia" w:ascii="宋体" w:hAnsi="宋体" w:eastAsia="宋体" w:cs="宋体"/>
          <w:color w:val="000000"/>
          <w:kern w:val="0"/>
          <w:szCs w:val="21"/>
          <w:lang w:eastAsia="zh-CN"/>
        </w:rPr>
      </w:pPr>
      <w:r>
        <w:rPr>
          <w:rFonts w:hint="eastAsia" w:ascii="宋体" w:hAnsi="宋体" w:cs="宋体"/>
          <w:kern w:val="0"/>
          <w:szCs w:val="21"/>
        </w:rPr>
        <w:t>4.3</w:t>
      </w:r>
      <w:r>
        <w:rPr>
          <w:rFonts w:ascii="宋体" w:hAnsi="宋体" w:cs="宋体"/>
          <w:kern w:val="0"/>
          <w:szCs w:val="21"/>
        </w:rPr>
        <w:t xml:space="preserve"> </w:t>
      </w:r>
      <w:r>
        <w:rPr>
          <w:rFonts w:hint="eastAsia" w:ascii="宋体" w:hAnsi="宋体" w:cs="宋体"/>
          <w:kern w:val="0"/>
          <w:szCs w:val="21"/>
        </w:rPr>
        <w:t>抽查了企业对已识别的</w:t>
      </w:r>
      <w:r>
        <w:rPr>
          <w:rFonts w:hint="eastAsia" w:ascii="宋体" w:hAnsi="宋体" w:cs="宋体"/>
          <w:kern w:val="0"/>
          <w:szCs w:val="21"/>
          <w:lang w:val="en-US" w:eastAsia="zh-CN"/>
        </w:rPr>
        <w:t>1</w:t>
      </w:r>
      <w:r>
        <w:rPr>
          <w:rFonts w:hint="eastAsia" w:ascii="宋体" w:hAnsi="宋体" w:cs="宋体"/>
          <w:kern w:val="0"/>
          <w:szCs w:val="21"/>
        </w:rPr>
        <w:t>个关键测量过程：</w:t>
      </w:r>
      <w:r>
        <w:rPr>
          <w:rFonts w:hint="eastAsia" w:hAnsi="宋体"/>
          <w:color w:val="000000"/>
          <w:kern w:val="2"/>
          <w:sz w:val="21"/>
          <w:szCs w:val="21"/>
          <w:lang w:val="en-US" w:eastAsia="zh-CN" w:bidi="ar-SA"/>
        </w:rPr>
        <w:t>冷水水表压力试验测量过程</w:t>
      </w:r>
      <w:r>
        <w:rPr>
          <w:rFonts w:hint="eastAsia" w:ascii="宋体" w:hAnsi="宋体"/>
          <w:szCs w:val="21"/>
          <w:lang w:eastAsia="zh-CN"/>
        </w:rPr>
        <w:t>，</w:t>
      </w:r>
      <w:r>
        <w:rPr>
          <w:rFonts w:hint="eastAsia" w:ascii="宋体" w:hAnsi="宋体" w:cs="宋体"/>
          <w:kern w:val="0"/>
          <w:szCs w:val="21"/>
        </w:rPr>
        <w:t>体系运行一年来未有新增</w:t>
      </w:r>
      <w:r>
        <w:rPr>
          <w:rFonts w:hint="eastAsia" w:ascii="宋体" w:hAnsi="宋体" w:cs="宋体"/>
          <w:color w:val="000000"/>
          <w:kern w:val="0"/>
          <w:szCs w:val="21"/>
        </w:rPr>
        <w:t>测量过程</w:t>
      </w:r>
      <w:r>
        <w:rPr>
          <w:rFonts w:hint="eastAsia" w:ascii="宋体" w:hAnsi="宋体" w:cs="宋体"/>
          <w:color w:val="000000"/>
          <w:kern w:val="0"/>
          <w:szCs w:val="21"/>
          <w:lang w:eastAsia="zh-CN"/>
        </w:rPr>
        <w:t>。</w:t>
      </w:r>
    </w:p>
    <w:p>
      <w:pPr>
        <w:spacing w:line="360" w:lineRule="auto"/>
        <w:ind w:firstLine="420" w:firstLineChars="200"/>
        <w:rPr>
          <w:rFonts w:hint="eastAsia" w:ascii="宋体" w:hAnsi="宋体"/>
          <w:color w:val="000000"/>
          <w:szCs w:val="21"/>
        </w:rPr>
      </w:pPr>
      <w:r>
        <w:rPr>
          <w:rFonts w:hint="eastAsia" w:ascii="宋体" w:hAnsi="宋体"/>
          <w:color w:val="000000"/>
          <w:szCs w:val="21"/>
          <w:lang w:val="en-US" w:eastAsia="zh-CN"/>
        </w:rPr>
        <w:t>4.3</w:t>
      </w:r>
      <w:r>
        <w:rPr>
          <w:rFonts w:hint="eastAsia" w:ascii="宋体" w:hAnsi="宋体"/>
          <w:color w:val="000000"/>
          <w:szCs w:val="21"/>
        </w:rPr>
        <w:t>.1查</w:t>
      </w:r>
      <w:r>
        <w:rPr>
          <w:rFonts w:hint="eastAsia" w:hAnsi="宋体"/>
          <w:color w:val="000000"/>
          <w:kern w:val="2"/>
          <w:sz w:val="21"/>
          <w:szCs w:val="21"/>
          <w:lang w:val="en-US" w:eastAsia="zh-CN" w:bidi="ar-SA"/>
        </w:rPr>
        <w:t>冷水水表压力试验测量过程</w:t>
      </w:r>
      <w:r>
        <w:rPr>
          <w:rFonts w:hint="eastAsia" w:ascii="宋体" w:hAnsi="宋体" w:cs="宋体"/>
          <w:color w:val="000000"/>
          <w:kern w:val="0"/>
          <w:szCs w:val="21"/>
        </w:rPr>
        <w:t>过程</w:t>
      </w:r>
      <w:r>
        <w:rPr>
          <w:rFonts w:hint="eastAsia" w:ascii="宋体" w:hAnsi="宋体"/>
          <w:color w:val="000000"/>
          <w:szCs w:val="21"/>
        </w:rPr>
        <w:t>等</w:t>
      </w:r>
      <w:r>
        <w:rPr>
          <w:rFonts w:hint="eastAsia" w:ascii="宋体" w:hAnsi="宋体" w:cs="宋体"/>
          <w:color w:val="000000"/>
          <w:kern w:val="0"/>
          <w:szCs w:val="21"/>
        </w:rPr>
        <w:t>，企业规定了测量人员和测量方法、测量设备的控制要求，</w:t>
      </w:r>
      <w:r>
        <w:rPr>
          <w:rFonts w:hint="eastAsia" w:ascii="宋体" w:hAnsi="宋体"/>
          <w:bCs/>
          <w:color w:val="000000"/>
          <w:szCs w:val="21"/>
        </w:rPr>
        <w:t>详</w:t>
      </w:r>
      <w:r>
        <w:rPr>
          <w:rFonts w:hint="eastAsia" w:ascii="宋体" w:hAnsi="宋体" w:cs="宋体"/>
          <w:color w:val="000000"/>
          <w:kern w:val="0"/>
          <w:szCs w:val="21"/>
        </w:rPr>
        <w:t>见《测量过程控制抽查表》。</w:t>
      </w:r>
    </w:p>
    <w:p>
      <w:pPr>
        <w:spacing w:line="360" w:lineRule="auto"/>
        <w:ind w:firstLine="420" w:firstLineChars="200"/>
        <w:rPr>
          <w:rFonts w:hint="eastAsia" w:ascii="宋体" w:hAnsi="宋体"/>
          <w:color w:val="000000"/>
          <w:szCs w:val="21"/>
        </w:rPr>
      </w:pPr>
      <w:r>
        <w:rPr>
          <w:rFonts w:hint="eastAsia" w:ascii="宋体" w:hAnsi="宋体"/>
          <w:color w:val="000000"/>
          <w:szCs w:val="21"/>
          <w:lang w:val="en-US" w:eastAsia="zh-CN"/>
        </w:rPr>
        <w:t>4.3</w:t>
      </w:r>
      <w:r>
        <w:rPr>
          <w:rFonts w:hint="eastAsia" w:ascii="宋体" w:hAnsi="宋体"/>
          <w:color w:val="000000"/>
          <w:szCs w:val="21"/>
        </w:rPr>
        <w:t>.</w:t>
      </w:r>
      <w:r>
        <w:rPr>
          <w:rFonts w:hint="eastAsia" w:ascii="宋体" w:hAnsi="宋体"/>
          <w:color w:val="000000"/>
          <w:szCs w:val="21"/>
          <w:lang w:val="en-US" w:eastAsia="zh-CN"/>
        </w:rPr>
        <w:t>2</w:t>
      </w:r>
      <w:r>
        <w:rPr>
          <w:rFonts w:hint="eastAsia" w:ascii="宋体" w:hAnsi="宋体"/>
          <w:color w:val="000000"/>
          <w:szCs w:val="21"/>
        </w:rPr>
        <w:t>现场重点抽查</w:t>
      </w:r>
      <w:r>
        <w:rPr>
          <w:rFonts w:hint="eastAsia" w:hAnsi="宋体"/>
          <w:color w:val="000000"/>
          <w:kern w:val="2"/>
          <w:sz w:val="21"/>
          <w:szCs w:val="21"/>
          <w:lang w:val="en-US" w:eastAsia="zh-CN" w:bidi="ar-SA"/>
        </w:rPr>
        <w:t>冷水水表压力试验测量过程</w:t>
      </w:r>
      <w:r>
        <w:rPr>
          <w:rFonts w:hint="eastAsia" w:ascii="宋体" w:hAnsi="宋体" w:cs="宋体"/>
          <w:color w:val="000000"/>
          <w:kern w:val="0"/>
          <w:szCs w:val="21"/>
        </w:rPr>
        <w:t>过程</w:t>
      </w:r>
      <w:r>
        <w:rPr>
          <w:rFonts w:hint="eastAsia" w:ascii="宋体" w:hAnsi="宋体"/>
          <w:color w:val="000000"/>
          <w:szCs w:val="21"/>
        </w:rPr>
        <w:t>不确定度评定，评定方法正确，详见附件《不确定度评定报告》。</w:t>
      </w:r>
    </w:p>
    <w:p>
      <w:pPr>
        <w:spacing w:line="360" w:lineRule="auto"/>
        <w:ind w:firstLine="420" w:firstLineChars="200"/>
        <w:rPr>
          <w:rFonts w:hint="eastAsia" w:ascii="宋体" w:hAnsi="宋体"/>
          <w:color w:val="000000"/>
          <w:szCs w:val="21"/>
        </w:rPr>
      </w:pPr>
      <w:r>
        <w:rPr>
          <w:rFonts w:hint="eastAsia" w:ascii="宋体" w:hAnsi="宋体"/>
          <w:color w:val="000000"/>
          <w:szCs w:val="21"/>
          <w:lang w:val="en-US" w:eastAsia="zh-CN"/>
        </w:rPr>
        <w:t>4.3.3</w:t>
      </w:r>
      <w:r>
        <w:rPr>
          <w:rFonts w:hint="eastAsia" w:ascii="宋体" w:hAnsi="宋体"/>
          <w:color w:val="000000"/>
          <w:szCs w:val="21"/>
        </w:rPr>
        <w:t>现场重点抽查了</w:t>
      </w:r>
      <w:r>
        <w:rPr>
          <w:rFonts w:hint="eastAsia" w:hAnsi="宋体"/>
          <w:color w:val="000000"/>
          <w:kern w:val="2"/>
          <w:sz w:val="21"/>
          <w:szCs w:val="21"/>
          <w:lang w:val="en-US" w:eastAsia="zh-CN" w:bidi="ar-SA"/>
        </w:rPr>
        <w:t>冷水水表压力试验测量过程</w:t>
      </w:r>
      <w:r>
        <w:rPr>
          <w:rFonts w:hint="eastAsia" w:ascii="宋体" w:hAnsi="宋体" w:cs="宋体"/>
          <w:color w:val="000000"/>
          <w:kern w:val="0"/>
          <w:szCs w:val="21"/>
        </w:rPr>
        <w:t>过程</w:t>
      </w:r>
      <w:r>
        <w:rPr>
          <w:rFonts w:hint="eastAsia" w:ascii="宋体" w:hAnsi="宋体"/>
          <w:color w:val="000000"/>
          <w:szCs w:val="21"/>
        </w:rPr>
        <w:t>有效性确认，测量过程监视记和控制图绘制，基本满足标准要求，</w:t>
      </w:r>
      <w:r>
        <w:rPr>
          <w:rFonts w:hint="eastAsia" w:ascii="宋体" w:hAnsi="宋体"/>
          <w:bCs/>
          <w:color w:val="000000"/>
          <w:szCs w:val="21"/>
        </w:rPr>
        <w:t>详</w:t>
      </w:r>
      <w:r>
        <w:rPr>
          <w:rFonts w:hint="eastAsia" w:ascii="宋体" w:hAnsi="宋体"/>
          <w:color w:val="000000"/>
          <w:szCs w:val="21"/>
        </w:rPr>
        <w:t>见附件《测量过程监视</w:t>
      </w:r>
      <w:r>
        <w:rPr>
          <w:rFonts w:hint="eastAsia" w:ascii="宋体" w:hAnsi="宋体"/>
          <w:color w:val="000000"/>
          <w:szCs w:val="21"/>
          <w:lang w:val="en-US" w:eastAsia="zh-CN"/>
        </w:rPr>
        <w:t>比对</w:t>
      </w:r>
      <w:r>
        <w:rPr>
          <w:rFonts w:hint="eastAsia" w:ascii="宋体" w:hAnsi="宋体"/>
          <w:color w:val="000000"/>
          <w:szCs w:val="21"/>
        </w:rPr>
        <w:t>记录》、《测量过程有效性确认记录表》。</w:t>
      </w:r>
    </w:p>
    <w:p>
      <w:pPr>
        <w:widowControl/>
        <w:numPr>
          <w:ilvl w:val="0"/>
          <w:numId w:val="0"/>
        </w:numPr>
        <w:spacing w:line="360" w:lineRule="auto"/>
        <w:ind w:leftChars="0"/>
        <w:rPr>
          <w:rFonts w:cs="宋体" w:asciiTheme="minorEastAsia" w:hAnsiTheme="minorEastAsia"/>
          <w:kern w:val="0"/>
          <w:szCs w:val="21"/>
        </w:rPr>
      </w:pPr>
      <w:r>
        <w:rPr>
          <w:rFonts w:hint="eastAsia" w:asciiTheme="minorEastAsia" w:hAnsiTheme="minorEastAsia"/>
          <w:bCs/>
          <w:szCs w:val="21"/>
          <w:lang w:val="en-US" w:eastAsia="zh-CN"/>
        </w:rPr>
        <w:t>5.</w:t>
      </w:r>
      <w:r>
        <w:rPr>
          <w:rFonts w:hint="eastAsia" w:asciiTheme="minorEastAsia" w:hAnsiTheme="minorEastAsia"/>
          <w:bCs/>
          <w:szCs w:val="21"/>
        </w:rPr>
        <w:t>对认证审核时提出的的不符合项的纠正措施情况有表述</w:t>
      </w:r>
      <w:r>
        <w:rPr>
          <w:rFonts w:cs="宋体" w:asciiTheme="minorEastAsia" w:hAnsiTheme="minorEastAsia"/>
          <w:bCs/>
          <w:kern w:val="0"/>
          <w:szCs w:val="21"/>
        </w:rPr>
        <w:t>：</w:t>
      </w:r>
      <w:r>
        <w:rPr>
          <w:rFonts w:cs="宋体" w:asciiTheme="minorEastAsia" w:hAnsiTheme="minorEastAsia"/>
          <w:kern w:val="0"/>
          <w:szCs w:val="21"/>
        </w:rPr>
        <w:t> </w:t>
      </w:r>
    </w:p>
    <w:p>
      <w:pPr>
        <w:widowControl/>
        <w:spacing w:line="360" w:lineRule="auto"/>
        <w:ind w:firstLine="420" w:firstLineChars="200"/>
        <w:jc w:val="left"/>
      </w:pPr>
      <w:r>
        <w:rPr>
          <w:rFonts w:hint="eastAsia" w:cs="宋体"/>
          <w:kern w:val="0"/>
        </w:rPr>
        <w:t>公司已针对上一年度开具的不符合项</w:t>
      </w:r>
      <w:r>
        <w:rPr>
          <w:rFonts w:hint="eastAsia" w:cs="宋体"/>
          <w:kern w:val="0"/>
          <w:lang w:eastAsia="zh-CN"/>
        </w:rPr>
        <w:t>，</w:t>
      </w:r>
      <w:r>
        <w:rPr>
          <w:rFonts w:hint="eastAsia" w:ascii="宋体" w:hAnsi="宋体" w:cs="宋体"/>
          <w:kern w:val="0"/>
          <w:szCs w:val="21"/>
          <w:lang w:val="en-US" w:eastAsia="zh-CN"/>
        </w:rPr>
        <w:t>均</w:t>
      </w:r>
      <w:r>
        <w:rPr>
          <w:rFonts w:hint="eastAsia" w:cs="宋体"/>
          <w:kern w:val="0"/>
        </w:rPr>
        <w:t>已采取有效措施，已关闭。</w:t>
      </w:r>
    </w:p>
    <w:p>
      <w:pPr>
        <w:widowControl/>
        <w:numPr>
          <w:ilvl w:val="0"/>
          <w:numId w:val="2"/>
        </w:numPr>
        <w:spacing w:line="360" w:lineRule="auto"/>
        <w:rPr>
          <w:rFonts w:cs="宋体" w:asciiTheme="minorEastAsia" w:hAnsiTheme="minorEastAsia"/>
          <w:bCs/>
          <w:kern w:val="0"/>
          <w:szCs w:val="21"/>
        </w:rPr>
      </w:pPr>
      <w:r>
        <w:rPr>
          <w:rFonts w:hint="eastAsia" w:cs="宋体" w:asciiTheme="minorEastAsia" w:hAnsiTheme="minorEastAsia"/>
          <w:kern w:val="0"/>
          <w:szCs w:val="21"/>
        </w:rPr>
        <w:t>对</w:t>
      </w:r>
      <w:r>
        <w:rPr>
          <w:rFonts w:hint="eastAsia" w:asciiTheme="minorEastAsia" w:hAnsiTheme="minorEastAsia"/>
          <w:bCs/>
          <w:szCs w:val="21"/>
        </w:rPr>
        <w:t>投诉的处理</w:t>
      </w:r>
      <w:r>
        <w:rPr>
          <w:rFonts w:cs="宋体" w:asciiTheme="minorEastAsia" w:hAnsiTheme="minorEastAsia"/>
          <w:bCs/>
          <w:kern w:val="0"/>
          <w:szCs w:val="21"/>
        </w:rPr>
        <w:t>情况：</w:t>
      </w:r>
    </w:p>
    <w:p>
      <w:pPr>
        <w:widowControl/>
        <w:spacing w:line="360" w:lineRule="auto"/>
        <w:ind w:firstLine="420" w:firstLineChars="200"/>
      </w:pPr>
      <w:r>
        <w:rPr>
          <w:rFonts w:hint="eastAsia" w:ascii="宋体" w:hAnsi="宋体"/>
          <w:bCs/>
          <w:szCs w:val="21"/>
        </w:rPr>
        <w:t>公司目前尚未接到客户在产品质量、</w:t>
      </w:r>
      <w:r>
        <w:rPr>
          <w:rFonts w:hint="eastAsia" w:ascii="宋体" w:hAnsi="宋体"/>
          <w:bCs/>
          <w:szCs w:val="21"/>
          <w:lang w:val="en-US" w:eastAsia="zh-CN"/>
        </w:rPr>
        <w:t>成果</w:t>
      </w:r>
      <w:r>
        <w:rPr>
          <w:rFonts w:hint="eastAsia" w:ascii="宋体" w:hAnsi="宋体"/>
          <w:bCs/>
          <w:szCs w:val="21"/>
        </w:rPr>
        <w:t>交接、能源、安全、现场管理等方面的投诉和纠纷。</w:t>
      </w:r>
    </w:p>
    <w:p>
      <w:pPr>
        <w:widowControl/>
        <w:numPr>
          <w:ilvl w:val="0"/>
          <w:numId w:val="2"/>
        </w:numPr>
        <w:spacing w:line="276" w:lineRule="auto"/>
        <w:ind w:left="0" w:leftChars="0" w:firstLine="0" w:firstLineChars="0"/>
        <w:rPr>
          <w:rFonts w:cs="宋体" w:asciiTheme="minorEastAsia" w:hAnsiTheme="minorEastAsia"/>
          <w:bCs/>
          <w:kern w:val="0"/>
          <w:szCs w:val="21"/>
        </w:rPr>
      </w:pPr>
      <w:r>
        <w:rPr>
          <w:rFonts w:hint="eastAsia" w:asciiTheme="minorEastAsia" w:hAnsiTheme="minorEastAsia"/>
          <w:bCs/>
          <w:szCs w:val="21"/>
        </w:rPr>
        <w:t>测量管理体系在实现获证客户目标方面的有效性及持续的运作控制</w:t>
      </w:r>
      <w:r>
        <w:rPr>
          <w:rFonts w:cs="宋体" w:asciiTheme="minorEastAsia" w:hAnsiTheme="minorEastAsia"/>
          <w:bCs/>
          <w:kern w:val="0"/>
          <w:szCs w:val="21"/>
        </w:rPr>
        <w:t>情况：</w:t>
      </w:r>
    </w:p>
    <w:p>
      <w:pPr>
        <w:widowControl/>
        <w:spacing w:line="360" w:lineRule="auto"/>
        <w:ind w:firstLine="420" w:firstLineChars="200"/>
        <w:rPr>
          <w:rFonts w:hint="eastAsia" w:ascii="宋体" w:hAnsi="宋体"/>
          <w:bCs/>
          <w:szCs w:val="21"/>
        </w:rPr>
      </w:pPr>
      <w:r>
        <w:rPr>
          <w:rFonts w:hint="eastAsia" w:ascii="宋体" w:hAnsi="宋体"/>
          <w:bCs/>
          <w:szCs w:val="21"/>
        </w:rPr>
        <w:t>公司</w:t>
      </w:r>
      <w:r>
        <w:rPr>
          <w:rFonts w:hint="eastAsia" w:ascii="宋体" w:hAnsi="宋体"/>
          <w:bCs/>
          <w:szCs w:val="21"/>
          <w:lang w:val="en-US" w:eastAsia="zh-CN"/>
        </w:rPr>
        <w:t>制</w:t>
      </w:r>
      <w:r>
        <w:rPr>
          <w:rFonts w:hint="eastAsia" w:ascii="宋体" w:hAnsi="宋体"/>
          <w:bCs/>
          <w:szCs w:val="21"/>
        </w:rPr>
        <w:t>定</w:t>
      </w:r>
      <w:r>
        <w:rPr>
          <w:rFonts w:hint="eastAsia" w:ascii="宋体" w:hAnsi="宋体"/>
          <w:bCs/>
          <w:szCs w:val="21"/>
          <w:lang w:val="en-US" w:eastAsia="zh-CN"/>
        </w:rPr>
        <w:t>2020年</w:t>
      </w:r>
      <w:r>
        <w:rPr>
          <w:rFonts w:hint="eastAsia" w:ascii="宋体" w:hAnsi="宋体"/>
          <w:bCs/>
          <w:szCs w:val="21"/>
        </w:rPr>
        <w:t>的计量方针及5项质量目标</w:t>
      </w:r>
      <w:r>
        <w:rPr>
          <w:rFonts w:hint="eastAsia" w:ascii="宋体" w:hAnsi="宋体"/>
          <w:bCs/>
          <w:szCs w:val="21"/>
          <w:lang w:eastAsia="zh-CN"/>
        </w:rPr>
        <w:t>，</w:t>
      </w:r>
      <w:r>
        <w:rPr>
          <w:rFonts w:hint="eastAsia" w:ascii="宋体" w:hAnsi="宋体"/>
          <w:bCs/>
          <w:szCs w:val="21"/>
        </w:rPr>
        <w:t>内容基本覆盖标准要素。公司将质量目标考核细则已纳入员工绩效考核表，进一步体现了实现顾客、质量、服务等方面的要求，符合GB/T 19022-2003标准要</w:t>
      </w:r>
      <w:r>
        <w:rPr>
          <w:rFonts w:hint="eastAsia" w:ascii="宋体" w:hAnsi="宋体"/>
          <w:bCs/>
          <w:szCs w:val="21"/>
          <w:lang w:eastAsia="zh-CN"/>
        </w:rPr>
        <w:t>，</w:t>
      </w:r>
      <w:r>
        <w:rPr>
          <w:rFonts w:hint="eastAsia" w:ascii="宋体" w:hAnsi="宋体"/>
          <w:bCs/>
          <w:szCs w:val="21"/>
          <w:lang w:val="en-US" w:eastAsia="zh-CN"/>
        </w:rPr>
        <w:t>经2020年12月3日，统计考核，各部门均完成目标。</w:t>
      </w:r>
    </w:p>
    <w:p>
      <w:pPr>
        <w:widowControl/>
        <w:numPr>
          <w:ilvl w:val="0"/>
          <w:numId w:val="2"/>
        </w:numPr>
        <w:spacing w:line="360" w:lineRule="auto"/>
        <w:ind w:left="0" w:leftChars="0" w:firstLine="0" w:firstLineChars="0"/>
        <w:rPr>
          <w:rFonts w:hint="eastAsia" w:asciiTheme="minorEastAsia" w:hAnsiTheme="minorEastAsia"/>
          <w:bCs/>
          <w:szCs w:val="21"/>
        </w:rPr>
      </w:pPr>
      <w:r>
        <w:rPr>
          <w:rFonts w:hint="eastAsia" w:asciiTheme="minorEastAsia" w:hAnsiTheme="minorEastAsia"/>
          <w:bCs/>
          <w:szCs w:val="21"/>
        </w:rPr>
        <w:t>对企业组织任何变更的审核</w:t>
      </w:r>
    </w:p>
    <w:p>
      <w:pPr>
        <w:widowControl/>
        <w:spacing w:line="360" w:lineRule="auto"/>
        <w:ind w:firstLine="210" w:firstLineChars="100"/>
      </w:pPr>
      <w:r>
        <w:rPr>
          <w:rFonts w:hint="eastAsia" w:asciiTheme="minorEastAsia" w:hAnsiTheme="minorEastAsia"/>
          <w:bCs/>
          <w:szCs w:val="21"/>
        </w:rPr>
        <w:t>企业在本年度内未发生与本审核有关的变更。</w:t>
      </w:r>
    </w:p>
    <w:p>
      <w:pPr>
        <w:widowControl/>
        <w:spacing w:line="360" w:lineRule="auto"/>
        <w:rPr>
          <w:rFonts w:cs="宋体" w:asciiTheme="minorEastAsia" w:hAnsiTheme="minorEastAsia"/>
          <w:bCs/>
          <w:kern w:val="0"/>
          <w:szCs w:val="21"/>
        </w:rPr>
      </w:pPr>
      <w:r>
        <w:rPr>
          <w:rFonts w:hint="eastAsia" w:asciiTheme="minorEastAsia" w:hAnsiTheme="minorEastAsia"/>
          <w:bCs/>
          <w:szCs w:val="21"/>
        </w:rPr>
        <w:t>9.标志的使用和（或）任何其他对认证资</w:t>
      </w:r>
      <w:r>
        <w:rPr>
          <w:rFonts w:hint="eastAsia"/>
          <w:bCs/>
        </w:rPr>
        <w:t>格引用</w:t>
      </w:r>
      <w:r>
        <w:rPr>
          <w:rFonts w:cs="宋体" w:asciiTheme="minorEastAsia" w:hAnsiTheme="minorEastAsia"/>
          <w:bCs/>
          <w:kern w:val="0"/>
          <w:szCs w:val="21"/>
        </w:rPr>
        <w:t>的情况：</w:t>
      </w:r>
    </w:p>
    <w:p>
      <w:pPr>
        <w:widowControl/>
        <w:spacing w:line="360" w:lineRule="auto"/>
        <w:ind w:firstLine="420" w:firstLineChars="200"/>
        <w:rPr>
          <w:rFonts w:hint="eastAsia" w:ascii="宋体" w:hAnsi="宋体" w:cs="宋体"/>
          <w:bCs/>
          <w:kern w:val="0"/>
          <w:szCs w:val="21"/>
        </w:rPr>
      </w:pPr>
      <w:r>
        <w:rPr>
          <w:rFonts w:hint="eastAsia" w:ascii="宋体" w:hAnsi="宋体" w:cs="宋体"/>
          <w:bCs/>
          <w:kern w:val="0"/>
          <w:szCs w:val="21"/>
        </w:rPr>
        <w:t>该公司已按要求北京国标联合认证有限公司要求正确使用标志和证书。</w:t>
      </w:r>
    </w:p>
    <w:p>
      <w:pPr>
        <w:widowControl/>
        <w:spacing w:line="400" w:lineRule="exact"/>
        <w:rPr>
          <w:rFonts w:hint="eastAsia" w:ascii="宋体" w:hAnsi="宋体" w:cs="宋体"/>
          <w:kern w:val="0"/>
          <w:szCs w:val="21"/>
          <w:lang w:val="en-US" w:eastAsia="zh-CN"/>
        </w:rPr>
      </w:pPr>
      <w:r>
        <w:rPr>
          <w:rFonts w:hint="eastAsia" w:ascii="宋体" w:hAnsi="宋体" w:eastAsia="宋体" w:cs="宋体"/>
          <w:kern w:val="0"/>
          <w:szCs w:val="21"/>
          <w:lang w:val="en-US" w:eastAsia="zh-CN"/>
        </w:rPr>
        <w:t>10.</w:t>
      </w:r>
      <w:r>
        <w:rPr>
          <w:rFonts w:hint="eastAsia" w:ascii="宋体" w:hAnsi="宋体" w:eastAsia="宋体" w:cs="宋体"/>
          <w:kern w:val="0"/>
          <w:szCs w:val="21"/>
        </w:rPr>
        <w:t xml:space="preserve"> 本次监督审核</w:t>
      </w:r>
      <w:r>
        <w:rPr>
          <w:rFonts w:hint="eastAsia" w:ascii="宋体" w:hAnsi="宋体" w:eastAsia="宋体" w:cs="宋体"/>
          <w:kern w:val="0"/>
          <w:szCs w:val="21"/>
          <w:lang w:val="en-US" w:eastAsia="zh-CN"/>
        </w:rPr>
        <w:t>未发现</w:t>
      </w:r>
      <w:r>
        <w:rPr>
          <w:rFonts w:hint="eastAsia" w:ascii="宋体" w:hAnsi="宋体" w:eastAsia="宋体" w:cs="宋体"/>
          <w:kern w:val="0"/>
          <w:szCs w:val="21"/>
        </w:rPr>
        <w:t>不符合</w:t>
      </w:r>
      <w:r>
        <w:rPr>
          <w:rFonts w:hint="eastAsia" w:ascii="宋体" w:hAnsi="宋体" w:eastAsia="宋体" w:cs="宋体"/>
          <w:color w:val="000000"/>
          <w:kern w:val="0"/>
          <w:szCs w:val="21"/>
          <w:lang w:val="en-US" w:eastAsia="zh-CN"/>
        </w:rPr>
        <w:t>项</w:t>
      </w:r>
      <w:r>
        <w:rPr>
          <w:rFonts w:hint="eastAsia" w:ascii="宋体" w:hAnsi="宋体" w:eastAsia="宋体" w:cs="宋体"/>
          <w:kern w:val="0"/>
          <w:szCs w:val="21"/>
        </w:rPr>
        <w:t>，未发现严重的或系统性的不符合情况：</w:t>
      </w:r>
      <w:r>
        <w:rPr>
          <w:rFonts w:hint="eastAsia" w:ascii="宋体" w:hAnsi="宋体" w:cs="宋体"/>
          <w:kern w:val="0"/>
          <w:szCs w:val="21"/>
          <w:lang w:val="en-US" w:eastAsia="zh-CN"/>
        </w:rPr>
        <w:t xml:space="preserve"> </w:t>
      </w:r>
    </w:p>
    <w:p>
      <w:pPr>
        <w:widowControl/>
        <w:spacing w:line="400" w:lineRule="exact"/>
      </w:pPr>
      <w:r>
        <w:rPr>
          <w:rFonts w:hint="eastAsia" w:ascii="宋体" w:hAnsi="宋体" w:eastAsia="宋体" w:cs="宋体"/>
          <w:b/>
          <w:bCs/>
          <w:kern w:val="0"/>
          <w:szCs w:val="21"/>
          <w:lang w:val="en-US" w:eastAsia="zh-CN"/>
        </w:rPr>
        <w:t>11.</w:t>
      </w:r>
      <w:r>
        <w:rPr>
          <w:rFonts w:ascii="宋体" w:hAnsi="宋体" w:eastAsia="宋体" w:cs="宋体"/>
          <w:b/>
          <w:bCs/>
          <w:kern w:val="0"/>
          <w:szCs w:val="21"/>
        </w:rPr>
        <w:t>监督审核结论意见</w:t>
      </w:r>
      <w:r>
        <w:rPr>
          <w:rFonts w:ascii="宋体" w:hAnsi="宋体" w:eastAsia="宋体" w:cs="宋体"/>
          <w:bCs/>
          <w:kern w:val="0"/>
          <w:szCs w:val="21"/>
        </w:rPr>
        <w:t>(</w:t>
      </w:r>
      <w:r>
        <w:rPr>
          <w:rFonts w:ascii="宋体" w:hAnsi="宋体" w:eastAsia="宋体" w:cs="宋体"/>
          <w:kern w:val="0"/>
          <w:szCs w:val="21"/>
        </w:rPr>
        <w:t>含需要说</w:t>
      </w:r>
      <w:r>
        <w:rPr>
          <w:rFonts w:ascii="宋体" w:hAnsi="宋体" w:eastAsia="宋体" w:cs="宋体"/>
          <w:kern w:val="0"/>
          <w:szCs w:val="28"/>
        </w:rPr>
        <w:t>明的事项):</w:t>
      </w:r>
    </w:p>
    <w:p>
      <w:pPr>
        <w:widowControl/>
        <w:spacing w:line="400" w:lineRule="exact"/>
        <w:ind w:firstLine="420" w:firstLineChars="200"/>
        <w:rPr>
          <w:rFonts w:ascii="宋体" w:hAnsi="宋体" w:eastAsia="宋体" w:cs="宋体"/>
          <w:bCs/>
          <w:kern w:val="0"/>
          <w:szCs w:val="21"/>
        </w:rPr>
      </w:pPr>
      <w:r>
        <w:rPr>
          <w:rFonts w:hint="eastAsia" w:ascii="宋体" w:hAnsi="宋体" w:eastAsia="宋体" w:cs="宋体"/>
          <w:bCs/>
          <w:kern w:val="0"/>
          <w:szCs w:val="21"/>
          <w:lang w:eastAsia="zh-CN"/>
        </w:rPr>
        <w:t>通过</w:t>
      </w:r>
      <w:r>
        <w:rPr>
          <w:rFonts w:hint="eastAsia" w:ascii="宋体" w:hAnsi="宋体" w:eastAsia="宋体" w:cs="宋体"/>
          <w:bCs/>
          <w:kern w:val="0"/>
          <w:szCs w:val="21"/>
        </w:rPr>
        <w:t>20</w:t>
      </w:r>
      <w:r>
        <w:rPr>
          <w:rFonts w:hint="eastAsia" w:ascii="宋体" w:hAnsi="宋体" w:eastAsia="宋体" w:cs="宋体"/>
          <w:bCs/>
          <w:kern w:val="0"/>
          <w:szCs w:val="21"/>
          <w:lang w:val="en-US" w:eastAsia="zh-CN"/>
        </w:rPr>
        <w:t>21</w:t>
      </w:r>
      <w:r>
        <w:rPr>
          <w:rFonts w:hint="eastAsia" w:ascii="宋体" w:hAnsi="宋体" w:eastAsia="宋体" w:cs="宋体"/>
          <w:bCs/>
          <w:kern w:val="0"/>
          <w:szCs w:val="21"/>
        </w:rPr>
        <w:t>年</w:t>
      </w:r>
      <w:r>
        <w:rPr>
          <w:rFonts w:hint="eastAsia" w:ascii="宋体" w:hAnsi="宋体" w:eastAsia="宋体" w:cs="宋体"/>
          <w:bCs/>
          <w:kern w:val="0"/>
          <w:szCs w:val="21"/>
          <w:lang w:val="en-US" w:eastAsia="zh-CN"/>
        </w:rPr>
        <w:t>1</w:t>
      </w:r>
      <w:r>
        <w:rPr>
          <w:rFonts w:hint="eastAsia" w:ascii="宋体" w:hAnsi="宋体" w:eastAsia="宋体" w:cs="宋体"/>
          <w:bCs/>
          <w:kern w:val="0"/>
          <w:szCs w:val="21"/>
        </w:rPr>
        <w:t>月</w:t>
      </w:r>
      <w:r>
        <w:rPr>
          <w:rFonts w:hint="eastAsia" w:ascii="宋体" w:hAnsi="宋体" w:eastAsia="宋体" w:cs="宋体"/>
          <w:bCs/>
          <w:kern w:val="0"/>
          <w:szCs w:val="21"/>
          <w:lang w:val="en-US" w:eastAsia="zh-CN"/>
        </w:rPr>
        <w:t>30</w:t>
      </w:r>
      <w:r>
        <w:rPr>
          <w:rFonts w:hint="eastAsia" w:ascii="宋体" w:hAnsi="宋体" w:eastAsia="宋体" w:cs="宋体"/>
          <w:bCs/>
          <w:kern w:val="0"/>
          <w:szCs w:val="21"/>
        </w:rPr>
        <w:t>日对</w:t>
      </w:r>
      <w:r>
        <w:rPr>
          <w:rFonts w:hint="eastAsia" w:ascii="宋体" w:hAnsi="宋体" w:eastAsia="宋体"/>
          <w:szCs w:val="21"/>
          <w:lang w:eastAsia="zh-CN"/>
        </w:rPr>
        <w:t>湖南子门电子科技有限公司</w:t>
      </w:r>
      <w:r>
        <w:rPr>
          <w:rFonts w:hint="eastAsia" w:ascii="宋体" w:hAnsi="宋体" w:eastAsia="宋体" w:cs="宋体"/>
          <w:bCs/>
          <w:kern w:val="0"/>
          <w:szCs w:val="21"/>
        </w:rPr>
        <w:t>建立的测量管理体系进行年度监督审核</w:t>
      </w:r>
      <w:r>
        <w:rPr>
          <w:rFonts w:hint="eastAsia" w:ascii="宋体" w:hAnsi="宋体" w:eastAsia="宋体" w:cs="宋体"/>
          <w:bCs/>
          <w:kern w:val="0"/>
          <w:szCs w:val="21"/>
          <w:lang w:eastAsia="zh-CN"/>
        </w:rPr>
        <w:t>，</w:t>
      </w:r>
      <w:r>
        <w:rPr>
          <w:rFonts w:hint="eastAsia" w:ascii="宋体" w:hAnsi="宋体" w:eastAsia="宋体" w:cs="宋体"/>
          <w:bCs/>
          <w:kern w:val="0"/>
          <w:szCs w:val="21"/>
        </w:rPr>
        <w:t xml:space="preserve"> 审核组按照测量管理体系认证要求进行了抽查审核验证，审核组认为：公司领导重视计量工作，测量管理体系文件资料完整，计量相关部门及人员岗位职责明确。配备的检测设备、测量设备实行分类管理并通过量值溯源，用于关键、重要测量过程的测量设备均通过计量确认。现场在用测量设备状况良好,检测记录齐全，关键测量过程受控、监视方法正确有效，重要测量人员能力受控，测量设备、测量环境、测量软件、测量记录及外部供方管理等各项工作，测量管理体系通过一年来的运行更加完善和规范，使公司测量体系持续满足顾客的测量要求。经审核表明，</w:t>
      </w:r>
      <w:r>
        <w:rPr>
          <w:rFonts w:hint="eastAsia" w:ascii="宋体" w:hAnsi="宋体" w:eastAsia="宋体"/>
          <w:szCs w:val="21"/>
          <w:lang w:eastAsia="zh-CN"/>
        </w:rPr>
        <w:t>湖南子门电子科技有限公司</w:t>
      </w:r>
      <w:r>
        <w:rPr>
          <w:rFonts w:hint="eastAsia" w:ascii="宋体" w:hAnsi="宋体" w:eastAsia="宋体" w:cs="宋体"/>
          <w:kern w:val="0"/>
          <w:szCs w:val="21"/>
          <w:shd w:val="clear" w:color="auto" w:fill="FFFFFF"/>
          <w:lang w:eastAsia="zh-CN"/>
        </w:rPr>
        <w:t>的</w:t>
      </w:r>
      <w:r>
        <w:rPr>
          <w:rFonts w:hint="eastAsia" w:ascii="宋体" w:hAnsi="宋体" w:eastAsia="宋体" w:cs="宋体"/>
          <w:bCs/>
          <w:kern w:val="0"/>
          <w:szCs w:val="21"/>
        </w:rPr>
        <w:t>测量管理体系，符合GB/T 19022-2003标准要求，对体系运行具有持续的有效性、符合性予以肯定。建议报请北京国标联合认证有限公司批准通过监督审核。</w:t>
      </w:r>
    </w:p>
    <w:p>
      <w:pPr>
        <w:widowControl/>
        <w:spacing w:line="400" w:lineRule="exact"/>
        <w:ind w:firstLine="440" w:firstLineChars="200"/>
        <w:rPr>
          <w:rStyle w:val="9"/>
          <w:rFonts w:ascii="宋体" w:hAnsi="宋体" w:eastAsia="宋体"/>
          <w:sz w:val="21"/>
          <w:szCs w:val="21"/>
        </w:rPr>
      </w:pPr>
      <w:bookmarkStart w:id="10" w:name="_GoBack"/>
      <w:r>
        <w:rPr>
          <w:rFonts w:hint="eastAsia" w:ascii="Times New Roman" w:hAnsi="Times New Roman" w:eastAsia="宋体" w:cs="Times New Roman"/>
          <w:color w:val="000000"/>
          <w:kern w:val="0"/>
          <w:sz w:val="22"/>
          <w:szCs w:val="22"/>
          <w:lang w:val="en-US" w:eastAsia="zh-CN" w:bidi="ar"/>
        </w:rPr>
        <w:drawing>
          <wp:anchor distT="0" distB="0" distL="114300" distR="114300" simplePos="0" relativeHeight="251726848" behindDoc="0" locked="0" layoutInCell="1" allowOverlap="1">
            <wp:simplePos x="0" y="0"/>
            <wp:positionH relativeFrom="column">
              <wp:posOffset>3246120</wp:posOffset>
            </wp:positionH>
            <wp:positionV relativeFrom="paragraph">
              <wp:posOffset>735965</wp:posOffset>
            </wp:positionV>
            <wp:extent cx="480060" cy="329565"/>
            <wp:effectExtent l="0" t="0" r="2540" b="635"/>
            <wp:wrapNone/>
            <wp:docPr id="20" name="图片 20" descr="c0183d15897d8cab28562708f8ddd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c0183d15897d8cab28562708f8ddd10"/>
                    <pic:cNvPicPr>
                      <a:picLocks noChangeAspect="1"/>
                    </pic:cNvPicPr>
                  </pic:nvPicPr>
                  <pic:blipFill>
                    <a:blip r:embed="rId6"/>
                    <a:stretch>
                      <a:fillRect/>
                    </a:stretch>
                  </pic:blipFill>
                  <pic:spPr>
                    <a:xfrm>
                      <a:off x="0" y="0"/>
                      <a:ext cx="480060" cy="329565"/>
                    </a:xfrm>
                    <a:prstGeom prst="rect">
                      <a:avLst/>
                    </a:prstGeom>
                  </pic:spPr>
                </pic:pic>
              </a:graphicData>
            </a:graphic>
          </wp:anchor>
        </w:drawing>
      </w:r>
      <w:bookmarkEnd w:id="10"/>
      <w:r>
        <w:rPr>
          <w:rFonts w:hint="eastAsia" w:ascii="宋体" w:hAnsi="宋体" w:eastAsia="宋体" w:cs="宋体"/>
          <w:bCs/>
          <w:kern w:val="0"/>
          <w:szCs w:val="21"/>
        </w:rPr>
        <w:t>为了促进支持企业测量管理体系持续提高，建议</w:t>
      </w:r>
      <w:r>
        <w:rPr>
          <w:rFonts w:hint="eastAsia" w:ascii="宋体" w:hAnsi="宋体" w:eastAsia="宋体" w:cs="Times New Roman"/>
          <w:szCs w:val="21"/>
        </w:rPr>
        <w:t>企业加强体系文件的</w:t>
      </w:r>
      <w:r>
        <w:rPr>
          <w:rFonts w:hint="eastAsia" w:ascii="宋体" w:hAnsi="宋体" w:eastAsia="宋体" w:cs="Times New Roman"/>
          <w:szCs w:val="21"/>
          <w:lang w:val="en-US" w:eastAsia="zh-CN"/>
        </w:rPr>
        <w:t>管理</w:t>
      </w:r>
      <w:r>
        <w:rPr>
          <w:rFonts w:hint="eastAsia" w:ascii="宋体" w:hAnsi="宋体" w:eastAsia="宋体" w:cs="Times New Roman"/>
          <w:szCs w:val="21"/>
        </w:rPr>
        <w:t>，提升全员计量意识</w:t>
      </w:r>
      <w:r>
        <w:rPr>
          <w:rFonts w:hint="eastAsia" w:ascii="宋体" w:hAnsi="宋体" w:eastAsia="宋体" w:cs="宋体"/>
          <w:bCs/>
          <w:kern w:val="0"/>
          <w:szCs w:val="21"/>
        </w:rPr>
        <w:t xml:space="preserve">，加强对重要、关键测量过程的识别、控制工作，使测量管理体系能够更加有效地发挥作用。 </w:t>
      </w:r>
    </w:p>
    <w:p>
      <w:pPr>
        <w:widowControl/>
        <w:spacing w:line="276" w:lineRule="auto"/>
        <w:ind w:right="945"/>
        <w:jc w:val="center"/>
        <w:rPr>
          <w:rFonts w:ascii="宋体" w:hAnsi="宋体" w:eastAsia="宋体" w:cs="宋体"/>
          <w:kern w:val="0"/>
          <w:szCs w:val="28"/>
        </w:rPr>
      </w:pPr>
      <w:r>
        <w:rPr>
          <w:rFonts w:hint="eastAsia" w:ascii="宋体" w:hAnsi="宋体" w:eastAsia="宋体" w:cs="宋体"/>
          <w:kern w:val="0"/>
          <w:szCs w:val="28"/>
          <w:lang w:val="en-US" w:eastAsia="zh-CN"/>
        </w:rPr>
        <w:t xml:space="preserve">      </w:t>
      </w:r>
      <w:r>
        <w:rPr>
          <w:rFonts w:ascii="宋体" w:hAnsi="宋体" w:eastAsia="宋体" w:cs="宋体"/>
          <w:kern w:val="0"/>
          <w:szCs w:val="28"/>
        </w:rPr>
        <w:t>审核员 （签字）：</w:t>
      </w:r>
    </w:p>
    <w:p>
      <w:pPr>
        <w:widowControl/>
        <w:spacing w:line="276" w:lineRule="auto"/>
        <w:ind w:right="1050"/>
        <w:rPr>
          <w:rFonts w:ascii="宋体" w:hAnsi="宋体" w:eastAsia="宋体" w:cs="宋体"/>
          <w:kern w:val="0"/>
          <w:szCs w:val="28"/>
        </w:rPr>
      </w:pPr>
    </w:p>
    <w:p>
      <w:pPr>
        <w:widowControl/>
        <w:spacing w:line="276" w:lineRule="auto"/>
        <w:ind w:right="1050"/>
        <w:rPr>
          <w:rFonts w:ascii="宋体" w:hAnsi="宋体" w:eastAsia="宋体" w:cs="宋体"/>
          <w:kern w:val="0"/>
          <w:szCs w:val="28"/>
        </w:rPr>
      </w:pPr>
    </w:p>
    <w:p>
      <w:pPr>
        <w:widowControl/>
        <w:spacing w:line="276" w:lineRule="auto"/>
        <w:ind w:right="1050"/>
        <w:rPr>
          <w:rFonts w:hint="default" w:ascii="宋体" w:hAnsi="宋体" w:eastAsia="宋体" w:cs="宋体"/>
          <w:kern w:val="0"/>
          <w:szCs w:val="28"/>
          <w:lang w:val="en-US" w:eastAsia="zh-CN"/>
        </w:rPr>
      </w:pPr>
      <w:r>
        <w:rPr>
          <w:rFonts w:hint="eastAsia" w:ascii="宋体" w:hAnsi="宋体" w:eastAsia="宋体" w:cs="宋体"/>
          <w:kern w:val="0"/>
          <w:szCs w:val="28"/>
          <w:lang w:val="en-US" w:eastAsia="zh-CN"/>
        </w:rPr>
        <w:t xml:space="preserve">                                           2021.1.30</w:t>
      </w:r>
    </w:p>
    <w:sectPr>
      <w:headerReference r:id="rId3" w:type="default"/>
      <w:pgSz w:w="11906" w:h="16838"/>
      <w:pgMar w:top="1440" w:right="1800" w:bottom="1440" w:left="1800" w:header="39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MS PGothic">
    <w:panose1 w:val="020B0600070205080204"/>
    <w:charset w:val="80"/>
    <w:family w:val="swiss"/>
    <w:pitch w:val="default"/>
    <w:sig w:usb0="E00002FF" w:usb1="6AC7FDFB" w:usb2="08000012" w:usb3="00000000" w:csb0="4002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spacing w:line="320" w:lineRule="exact"/>
      <w:ind w:left="-86" w:leftChars="-41" w:firstLine="720" w:firstLineChars="400"/>
      <w:jc w:val="left"/>
    </w:pPr>
    <w:bookmarkStart w:id="9" w:name="OLE_LINK1"/>
    <w:r>
      <w:drawing>
        <wp:anchor distT="0" distB="0" distL="114300" distR="114300" simplePos="0" relativeHeight="251658240" behindDoc="1" locked="0" layoutInCell="1" allowOverlap="1">
          <wp:simplePos x="0" y="0"/>
          <wp:positionH relativeFrom="column">
            <wp:posOffset>-248285</wp:posOffset>
          </wp:positionH>
          <wp:positionV relativeFrom="paragraph">
            <wp:posOffset>188595</wp:posOffset>
          </wp:positionV>
          <wp:extent cx="410210" cy="433070"/>
          <wp:effectExtent l="0" t="0" r="8890" b="5080"/>
          <wp:wrapTight wrapText="bothSides">
            <wp:wrapPolygon>
              <wp:start x="2909" y="0"/>
              <wp:lineTo x="0" y="3801"/>
              <wp:lineTo x="0" y="16152"/>
              <wp:lineTo x="4848" y="20903"/>
              <wp:lineTo x="5818" y="20903"/>
              <wp:lineTo x="14545" y="20903"/>
              <wp:lineTo x="15515" y="20903"/>
              <wp:lineTo x="20363" y="15202"/>
              <wp:lineTo x="20363" y="475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1"/>
                  <a:stretch>
                    <a:fillRect/>
                  </a:stretch>
                </pic:blipFill>
                <pic:spPr>
                  <a:xfrm>
                    <a:off x="0" y="0"/>
                    <a:ext cx="410210" cy="433070"/>
                  </a:xfrm>
                  <a:prstGeom prst="rect">
                    <a:avLst/>
                  </a:prstGeom>
                  <a:noFill/>
                  <a:ln w="9525">
                    <a:noFill/>
                  </a:ln>
                </pic:spPr>
              </pic:pic>
            </a:graphicData>
          </a:graphic>
        </wp:anchor>
      </w:drawing>
    </w:r>
    <w:r>
      <w:tab/>
    </w:r>
  </w:p>
  <w:p>
    <w:pPr>
      <w:pStyle w:val="3"/>
      <w:pBdr>
        <w:bottom w:val="none" w:color="auto" w:sz="0" w:space="0"/>
      </w:pBdr>
      <w:spacing w:line="320" w:lineRule="exact"/>
      <w:jc w:val="left"/>
      <w:rPr>
        <w:rStyle w:val="8"/>
        <w:rFonts w:hint="default" w:ascii="Times New Roman" w:hAnsi="Times New Roman" w:cs="Times New Roman"/>
        <w:szCs w:val="21"/>
      </w:rPr>
    </w:pPr>
    <w:r>
      <w:rPr>
        <w:sz w:val="21"/>
        <w:szCs w:val="21"/>
      </w:rPr>
      <w:pict>
        <v:shape id="_x0000_s2049" o:spid="_x0000_s2049" o:spt="202" type="#_x0000_t202" style="position:absolute;left:0pt;margin-left:288.95pt;margin-top:15.6pt;height:20.6pt;width:173.9pt;z-index:251658240;mso-width-relative:page;mso-height-relative:page;" stroked="f" coordsize="21600,21600">
          <v:path/>
          <v:fill focussize="0,0"/>
          <v:stroke on="f" joinstyle="miter"/>
          <v:imagedata o:title=""/>
          <o:lock v:ext="edit"/>
          <v:textbox>
            <w:txbxContent>
              <w:p>
                <w:pPr>
                  <w:rPr>
                    <w:sz w:val="18"/>
                    <w:szCs w:val="18"/>
                  </w:rPr>
                </w:pPr>
                <w:r>
                  <w:rPr>
                    <w:rFonts w:ascii="Times New Roman" w:hAnsi="Times New Roman" w:cs="Times New Roman"/>
                    <w:szCs w:val="21"/>
                  </w:rPr>
                  <w:t>ISC-</w:t>
                </w:r>
                <w:r>
                  <w:rPr>
                    <w:rFonts w:hint="eastAsia" w:ascii="Times New Roman" w:hAnsi="Times New Roman" w:cs="Times New Roman"/>
                    <w:szCs w:val="21"/>
                  </w:rPr>
                  <w:t>A-II</w:t>
                </w:r>
                <w:r>
                  <w:rPr>
                    <w:rFonts w:ascii="Times New Roman" w:hAnsi="Times New Roman" w:cs="Times New Roman"/>
                    <w:szCs w:val="21"/>
                  </w:rPr>
                  <w:t>-1</w:t>
                </w:r>
                <w:r>
                  <w:rPr>
                    <w:rFonts w:hint="eastAsia" w:ascii="Times New Roman" w:hAnsi="Times New Roman" w:cs="Times New Roman"/>
                    <w:szCs w:val="21"/>
                  </w:rPr>
                  <w:t>2</w:t>
                </w:r>
                <w:r>
                  <w:rPr>
                    <w:rFonts w:hint="eastAsia"/>
                    <w:szCs w:val="21"/>
                  </w:rPr>
                  <w:t>监督审核报告</w:t>
                </w:r>
                <w:r>
                  <w:rPr>
                    <w:rFonts w:ascii="Times New Roman" w:hAnsi="Times New Roman" w:cs="Times New Roman"/>
                    <w:szCs w:val="21"/>
                  </w:rPr>
                  <w:t>（0</w:t>
                </w:r>
                <w:r>
                  <w:rPr>
                    <w:rFonts w:hint="eastAsia" w:ascii="Times New Roman" w:hAnsi="Times New Roman" w:cs="Times New Roman"/>
                    <w:szCs w:val="21"/>
                  </w:rPr>
                  <w:t>6</w:t>
                </w:r>
                <w:r>
                  <w:rPr>
                    <w:rFonts w:ascii="Times New Roman" w:hAnsi="Times New Roman" w:cs="Times New Roman"/>
                    <w:szCs w:val="21"/>
                  </w:rPr>
                  <w:t>版）</w:t>
                </w:r>
              </w:p>
            </w:txbxContent>
          </v:textbox>
        </v:shape>
      </w:pict>
    </w:r>
    <w:r>
      <w:rPr>
        <w:rStyle w:val="8"/>
        <w:rFonts w:hint="default" w:ascii="Times New Roman" w:hAnsi="Times New Roman" w:cs="Times New Roman"/>
        <w:szCs w:val="21"/>
      </w:rPr>
      <w:t>北京国标联合认证有限公司</w:t>
    </w:r>
  </w:p>
  <w:p>
    <w:pPr>
      <w:pStyle w:val="3"/>
      <w:pBdr>
        <w:bottom w:val="none" w:color="auto" w:sz="0" w:space="0"/>
      </w:pBdr>
      <w:spacing w:line="320" w:lineRule="exact"/>
      <w:jc w:val="left"/>
    </w:pPr>
    <w:r>
      <w:rPr>
        <w:rStyle w:val="8"/>
        <w:rFonts w:hint="default" w:ascii="Times New Roman" w:hAnsi="Times New Roman" w:cs="Times New Roman"/>
        <w:w w:val="80"/>
        <w:szCs w:val="21"/>
      </w:rPr>
      <w:t xml:space="preserve">Beijing International Standard united Certification Co.,Ltd. </w:t>
    </w:r>
  </w:p>
  <w:p>
    <w:pPr>
      <w:rPr>
        <w:sz w:val="18"/>
        <w:szCs w:val="18"/>
      </w:rPr>
    </w:pPr>
    <w:r>
      <w:rPr>
        <w:sz w:val="18"/>
      </w:rPr>
      <w:pict>
        <v:line id="直线 3" o:spid="_x0000_s2050" o:spt="20" style="position:absolute;left:0pt;margin-left:-23.7pt;margin-top:2.35pt;height:0.7pt;width:460.6pt;z-index:251659264;mso-width-relative:page;mso-height-relative:page;" coordsize="21600,21600">
          <v:path arrowok="t"/>
          <v:fill focussize="0,0"/>
          <v:stroke/>
          <v:imagedata o:title=""/>
          <o:lock v:ext="edit"/>
        </v:line>
      </w:pict>
    </w:r>
    <w:bookmarkEnd w:id="9"/>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27EE965"/>
    <w:multiLevelType w:val="singleLevel"/>
    <w:tmpl w:val="A27EE965"/>
    <w:lvl w:ilvl="0" w:tentative="0">
      <w:start w:val="6"/>
      <w:numFmt w:val="decimal"/>
      <w:lvlText w:val="%1."/>
      <w:lvlJc w:val="left"/>
      <w:pPr>
        <w:tabs>
          <w:tab w:val="left" w:pos="312"/>
        </w:tabs>
      </w:pPr>
    </w:lvl>
  </w:abstractNum>
  <w:abstractNum w:abstractNumId="1">
    <w:nsid w:val="FF8F004C"/>
    <w:multiLevelType w:val="singleLevel"/>
    <w:tmpl w:val="FF8F004C"/>
    <w:lvl w:ilvl="0" w:tentative="0">
      <w:start w:val="2"/>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21B6642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Font Style137"/>
    <w:qFormat/>
    <w:uiPriority w:val="0"/>
    <w:rPr>
      <w:rFonts w:ascii="黑体" w:eastAsia="黑体" w:cs="黑体"/>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80</Words>
  <Characters>461</Characters>
  <Lines>3</Lines>
  <Paragraphs>1</Paragraphs>
  <TotalTime>5</TotalTime>
  <ScaleCrop>false</ScaleCrop>
  <LinksUpToDate>false</LinksUpToDate>
  <CharactersWithSpaces>540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2015-10-10T03:59:00Z</dcterms:created>
  <dc:creator>alexander chang</dc:creator>
  <cp:lastModifiedBy>LIL</cp:lastModifiedBy>
  <cp:lastPrinted>2017-09-01T06:24:00Z</cp:lastPrinted>
  <dcterms:modified xsi:type="dcterms:W3CDTF">2021-03-03T18:12:20Z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