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重庆今合商贸有限公司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0079-2021-QEO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ascii="宋体" w:hAnsi="宋体"/>
                <w:szCs w:val="21"/>
              </w:rPr>
              <w:t>91500112075672717</w:t>
            </w:r>
            <w:r>
              <w:rPr>
                <w:rFonts w:hint="eastAsia" w:ascii="宋体" w:hAnsi="宋体"/>
                <w:szCs w:val="21"/>
              </w:rPr>
              <w:t>N</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ascii="宋体"/>
                <w:color w:val="000000"/>
                <w:sz w:val="20"/>
                <w:szCs w:val="20"/>
                <w:lang w:val="en-US" w:eastAsia="zh-CN"/>
              </w:rPr>
              <w:t>食品经营许可证（JY5001120217179）</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bookmarkStart w:id="2" w:name="_GoBack" w:colFirst="1" w:colLast="2"/>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663360" behindDoc="0" locked="0" layoutInCell="1" allowOverlap="1">
                  <wp:simplePos x="0" y="0"/>
                  <wp:positionH relativeFrom="column">
                    <wp:posOffset>3988435</wp:posOffset>
                  </wp:positionH>
                  <wp:positionV relativeFrom="paragraph">
                    <wp:posOffset>8890</wp:posOffset>
                  </wp:positionV>
                  <wp:extent cx="589280" cy="367030"/>
                  <wp:effectExtent l="0" t="0" r="5080" b="13970"/>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589280" cy="36703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5865" w:firstLineChars="2793"/>
              <w:rPr>
                <w:color w:val="000000"/>
                <w:szCs w:val="21"/>
              </w:rPr>
            </w:pPr>
            <w:r>
              <w:rPr>
                <w:rFonts w:hint="eastAsia"/>
                <w:color w:val="000000"/>
                <w:szCs w:val="21"/>
              </w:rPr>
              <w:t>日期：2021年01月30日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A11573"/>
    <w:rsid w:val="6E532E07"/>
    <w:rsid w:val="7DF64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2021-02-01T03:36:16Z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