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drawing>
          <wp:inline distT="0" distB="0" distL="114300" distR="114300">
            <wp:extent cx="6583680" cy="9312910"/>
            <wp:effectExtent l="0" t="0" r="7620" b="8890"/>
            <wp:docPr id="3" name="图片 3" descr="扫描10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扫描1001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83680" cy="9312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5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242"/>
        <w:gridCol w:w="75"/>
        <w:gridCol w:w="101"/>
        <w:gridCol w:w="589"/>
        <w:gridCol w:w="261"/>
        <w:gridCol w:w="608"/>
        <w:gridCol w:w="11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任丘市红河邮电器材有限公司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受审核方地址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1"/>
                <w:szCs w:val="21"/>
              </w:rPr>
              <w:t>任丘市麻家坞镇麻家坞工业区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马秋花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13333270991</w:t>
            </w:r>
            <w:bookmarkEnd w:id="3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062554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最高管理者"/>
            <w:bookmarkEnd w:id="5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传真"/>
            <w:bookmarkEnd w:id="6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honghegongsi668@163.com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合同编号</w:t>
            </w:r>
            <w:r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合同编号"/>
            <w:r>
              <w:rPr>
                <w:sz w:val="21"/>
                <w:szCs w:val="21"/>
              </w:rPr>
              <w:t>0070-2021-Q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9"/>
            <w:r>
              <w:rPr>
                <w:spacing w:val="-2"/>
                <w:sz w:val="21"/>
                <w:szCs w:val="21"/>
              </w:rPr>
              <w:t>QMS</w:t>
            </w:r>
            <w:bookmarkStart w:id="10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spacing w:val="-2"/>
                <w:sz w:val="21"/>
                <w:szCs w:val="21"/>
              </w:rPr>
              <w:t>EMS</w:t>
            </w:r>
            <w:bookmarkStart w:id="11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审核类型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12" w:name="审核类型ZB"/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质量管理体系：初次认证第（二）阶段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审核目的</w:t>
            </w:r>
          </w:p>
        </w:tc>
        <w:tc>
          <w:tcPr>
            <w:tcW w:w="8836" w:type="dxa"/>
            <w:gridSpan w:val="15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bookmarkStart w:id="17" w:name="_GoBack"/>
            <w:bookmarkEnd w:id="17"/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第二阶段审核：验证组织管理体系的建立、实施运行的符合性及有效性，以确定是否推荐认证注册。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>
            <w:pPr>
              <w:rPr>
                <w:sz w:val="21"/>
                <w:szCs w:val="21"/>
              </w:rPr>
            </w:pPr>
            <w:bookmarkStart w:id="13" w:name="审核范围"/>
            <w:r>
              <w:rPr>
                <w:sz w:val="21"/>
                <w:szCs w:val="21"/>
              </w:rPr>
              <w:t>通讯塑料管材、线路铁件、钢绞线、树脂井盖、电话线、机箱机柜的生产</w:t>
            </w:r>
            <w:bookmarkEnd w:id="13"/>
          </w:p>
        </w:tc>
        <w:tc>
          <w:tcPr>
            <w:tcW w:w="951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14" w:name="专业代码"/>
            <w:r>
              <w:rPr>
                <w:sz w:val="21"/>
                <w:szCs w:val="21"/>
              </w:rPr>
              <w:t>14.02.01;14.02.03;17.12.01;17.12.03;17.12.05;19.11.02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审核准则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1"/>
                <w:szCs w:val="21"/>
                <w:lang w:val="de-DE"/>
              </w:rPr>
            </w:pPr>
            <w:bookmarkStart w:id="15" w:name="审核依据"/>
            <w:r>
              <w:rPr>
                <w:rFonts w:hint="eastAsia"/>
                <w:b/>
                <w:sz w:val="21"/>
                <w:szCs w:val="21"/>
                <w:lang w:val="de-DE"/>
              </w:rPr>
              <w:t>GB/T19001-2016/ISO9001:2015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远程</w:t>
            </w:r>
            <w:r>
              <w:rPr>
                <w:rFonts w:hint="eastAsia"/>
                <w:b/>
                <w:sz w:val="21"/>
                <w:szCs w:val="21"/>
              </w:rPr>
              <w:t>审核于</w:t>
            </w:r>
            <w:bookmarkStart w:id="16" w:name="审核日期安排"/>
            <w:r>
              <w:rPr>
                <w:rFonts w:hint="eastAsia"/>
                <w:b/>
                <w:sz w:val="21"/>
                <w:szCs w:val="21"/>
              </w:rPr>
              <w:t>2021年01月31日 下午至2021年02月01日 下午 (共1.5天)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审核语言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 w:eastAsia="zh-CN"/>
              </w:rPr>
              <w:t>☑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18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686" w:type="dxa"/>
            <w:gridSpan w:val="7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45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吉洁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686" w:type="dxa"/>
            <w:gridSpan w:val="7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14.02.01,14.02.03,17.12.01,17.12.03,17.12.05,19.11.02</w:t>
            </w:r>
          </w:p>
        </w:tc>
        <w:tc>
          <w:tcPr>
            <w:tcW w:w="145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18633812642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ISC-22240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8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李永忠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  <w:p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签字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83820</wp:posOffset>
                  </wp:positionH>
                  <wp:positionV relativeFrom="paragraph">
                    <wp:posOffset>64135</wp:posOffset>
                  </wp:positionV>
                  <wp:extent cx="828040" cy="398780"/>
                  <wp:effectExtent l="0" t="0" r="0" b="0"/>
                  <wp:wrapNone/>
                  <wp:docPr id="2" name="图片 2" descr="微信图片_201909041513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微信图片_2019090415134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8040" cy="398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2021.1.26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2021.1.30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99" w:type="dxa"/>
            <w:gridSpan w:val="4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2021.1.30</w:t>
            </w:r>
          </w:p>
        </w:tc>
      </w:tr>
    </w:tbl>
    <w:p>
      <w:pPr>
        <w:pStyle w:val="9"/>
        <w:numPr>
          <w:ilvl w:val="0"/>
          <w:numId w:val="0"/>
        </w:numPr>
        <w:spacing w:line="300" w:lineRule="exact"/>
        <w:ind w:left="360" w:leftChars="0"/>
        <w:rPr>
          <w:rFonts w:ascii="宋体" w:hAnsi="宋体"/>
          <w:b/>
          <w:sz w:val="18"/>
          <w:szCs w:val="18"/>
        </w:rPr>
      </w:pPr>
    </w:p>
    <w:p>
      <w:pPr>
        <w:pStyle w:val="9"/>
        <w:numPr>
          <w:ilvl w:val="0"/>
          <w:numId w:val="0"/>
        </w:numPr>
        <w:spacing w:line="300" w:lineRule="exact"/>
        <w:ind w:left="360" w:leftChars="0"/>
        <w:rPr>
          <w:rFonts w:ascii="宋体" w:hAnsi="宋体"/>
          <w:b/>
          <w:sz w:val="18"/>
          <w:szCs w:val="18"/>
        </w:rPr>
      </w:pPr>
    </w:p>
    <w:p>
      <w:pPr>
        <w:pStyle w:val="9"/>
        <w:numPr>
          <w:ilvl w:val="0"/>
          <w:numId w:val="0"/>
        </w:numPr>
        <w:spacing w:line="300" w:lineRule="exact"/>
        <w:ind w:left="360" w:leftChars="0"/>
        <w:rPr>
          <w:rFonts w:ascii="宋体" w:hAnsi="宋体"/>
          <w:b/>
          <w:sz w:val="18"/>
          <w:szCs w:val="18"/>
        </w:rPr>
      </w:pPr>
    </w:p>
    <w:p>
      <w:pPr>
        <w:pStyle w:val="9"/>
        <w:numPr>
          <w:ilvl w:val="0"/>
          <w:numId w:val="0"/>
        </w:numPr>
        <w:spacing w:line="300" w:lineRule="exact"/>
        <w:ind w:left="360" w:leftChars="0"/>
        <w:rPr>
          <w:rFonts w:ascii="宋体" w:hAnsi="宋体"/>
          <w:b/>
          <w:sz w:val="18"/>
          <w:szCs w:val="18"/>
        </w:rPr>
      </w:pPr>
    </w:p>
    <w:p>
      <w:pPr>
        <w:pStyle w:val="9"/>
        <w:numPr>
          <w:ilvl w:val="0"/>
          <w:numId w:val="0"/>
        </w:numPr>
        <w:spacing w:line="300" w:lineRule="exact"/>
        <w:ind w:left="360" w:leftChars="0"/>
        <w:rPr>
          <w:rFonts w:ascii="宋体" w:hAnsi="宋体"/>
          <w:b/>
          <w:sz w:val="18"/>
          <w:szCs w:val="18"/>
        </w:rPr>
      </w:pPr>
    </w:p>
    <w:p>
      <w:pPr>
        <w:pStyle w:val="9"/>
        <w:numPr>
          <w:ilvl w:val="0"/>
          <w:numId w:val="0"/>
        </w:numPr>
        <w:spacing w:line="300" w:lineRule="exact"/>
        <w:ind w:left="360" w:leftChars="0"/>
        <w:rPr>
          <w:rFonts w:ascii="宋体" w:hAnsi="宋体"/>
          <w:b/>
          <w:sz w:val="18"/>
          <w:szCs w:val="18"/>
        </w:rPr>
      </w:pPr>
    </w:p>
    <w:p>
      <w:pPr>
        <w:pStyle w:val="9"/>
        <w:numPr>
          <w:ilvl w:val="0"/>
          <w:numId w:val="0"/>
        </w:numPr>
        <w:spacing w:line="300" w:lineRule="exact"/>
        <w:ind w:left="360" w:leftChars="0"/>
        <w:rPr>
          <w:rFonts w:ascii="宋体" w:hAnsi="宋体"/>
          <w:b/>
          <w:sz w:val="18"/>
          <w:szCs w:val="18"/>
        </w:rPr>
      </w:pPr>
    </w:p>
    <w:p>
      <w:pPr>
        <w:pStyle w:val="9"/>
        <w:numPr>
          <w:ilvl w:val="0"/>
          <w:numId w:val="0"/>
        </w:numPr>
        <w:spacing w:line="300" w:lineRule="exact"/>
        <w:ind w:left="360" w:leftChars="0"/>
        <w:rPr>
          <w:rFonts w:ascii="宋体" w:hAnsi="宋体"/>
          <w:b/>
          <w:sz w:val="18"/>
          <w:szCs w:val="18"/>
        </w:rPr>
      </w:pPr>
    </w:p>
    <w:p>
      <w:pPr>
        <w:pStyle w:val="9"/>
        <w:numPr>
          <w:ilvl w:val="0"/>
          <w:numId w:val="0"/>
        </w:numPr>
        <w:spacing w:line="300" w:lineRule="exact"/>
        <w:ind w:left="360" w:leftChars="0"/>
        <w:rPr>
          <w:rFonts w:ascii="宋体" w:hAnsi="宋体"/>
          <w:b/>
          <w:sz w:val="18"/>
          <w:szCs w:val="18"/>
        </w:rPr>
      </w:pPr>
    </w:p>
    <w:p>
      <w:pPr>
        <w:pStyle w:val="9"/>
        <w:numPr>
          <w:ilvl w:val="0"/>
          <w:numId w:val="0"/>
        </w:numPr>
        <w:spacing w:line="300" w:lineRule="exact"/>
        <w:ind w:left="360" w:leftChars="0"/>
        <w:rPr>
          <w:rFonts w:ascii="宋体" w:hAnsi="宋体"/>
          <w:b/>
          <w:sz w:val="18"/>
          <w:szCs w:val="18"/>
        </w:rPr>
      </w:pPr>
    </w:p>
    <w:tbl>
      <w:tblPr>
        <w:tblStyle w:val="5"/>
        <w:tblW w:w="102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6"/>
        <w:gridCol w:w="1446"/>
        <w:gridCol w:w="6336"/>
        <w:gridCol w:w="12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246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186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日期</w:t>
            </w: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时间</w:t>
            </w:r>
          </w:p>
        </w:tc>
        <w:tc>
          <w:tcPr>
            <w:tcW w:w="63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受审核部门、场所及审核内容</w:t>
            </w:r>
          </w:p>
        </w:tc>
        <w:tc>
          <w:tcPr>
            <w:tcW w:w="1278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1" w:hRule="atLeast"/>
          <w:jc w:val="center"/>
        </w:trPr>
        <w:tc>
          <w:tcPr>
            <w:tcW w:w="1186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2021.1.31</w:t>
            </w: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3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首次会议（管理层）</w:t>
            </w:r>
          </w:p>
        </w:tc>
        <w:tc>
          <w:tcPr>
            <w:tcW w:w="1278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ISC-22240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8" w:hRule="atLeast"/>
          <w:jc w:val="center"/>
        </w:trPr>
        <w:tc>
          <w:tcPr>
            <w:tcW w:w="1186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3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层：组织及其环境；相关方的需求和希望；管理体系的范围；管理体系及其过程；领导作用和承诺；以顾客为关注焦点；管理方针；组织的岗位、职责权限；应对风险和机会的策划；目标和实现计划；变更的策划；资源提供；监视和测量总则；管理评审；总则；持续改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涉及条款：</w:t>
            </w:r>
            <w:r>
              <w:rPr>
                <w:rFonts w:hint="eastAsia"/>
                <w:sz w:val="21"/>
                <w:szCs w:val="21"/>
              </w:rPr>
              <w:t>4.1/4.2/4.3/4.4/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5.1/5.2/5.3/6.1/6.2/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6.3/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7.1/9.1.1/9.3/10.1/10.3</w:t>
            </w:r>
          </w:p>
        </w:tc>
        <w:tc>
          <w:tcPr>
            <w:tcW w:w="1278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ISC-22240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3" w:hRule="atLeast"/>
          <w:jc w:val="center"/>
        </w:trPr>
        <w:tc>
          <w:tcPr>
            <w:tcW w:w="1186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kern w:val="2"/>
                <w:sz w:val="21"/>
                <w:szCs w:val="21"/>
                <w:lang w:val="en-US" w:eastAsia="zh-CN" w:bidi="ar-SA"/>
              </w:rPr>
              <w:t>2021.2.1</w:t>
            </w: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3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办公室：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组织的岗位、职责权限；目标；文件化信息；人员、组织知识；能力；意识；沟通；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分析与评价；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不合格及纠正措施控制；内部审核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涉及条款：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5.3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/6.2/7.1.2/7.1.6/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7.2/7.3/7.4/7.5/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9.1.3/9.2/10.2；</w:t>
            </w:r>
          </w:p>
        </w:tc>
        <w:tc>
          <w:tcPr>
            <w:tcW w:w="1278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ISC-22240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0" w:hRule="atLeast"/>
          <w:jc w:val="center"/>
        </w:trPr>
        <w:tc>
          <w:tcPr>
            <w:tcW w:w="1186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3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供销部：</w:t>
            </w:r>
            <w:r>
              <w:rPr>
                <w:rFonts w:hint="eastAsia"/>
                <w:sz w:val="21"/>
                <w:szCs w:val="21"/>
              </w:rPr>
              <w:t>组织的岗位、职责权限；目标；外部提供的过程、产品和服务的控制；产品和服务要求；顾客或外部供方财产；交付后活动；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顾客满意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涉及条款：</w:t>
            </w:r>
            <w:r>
              <w:rPr>
                <w:rFonts w:hint="eastAsia"/>
                <w:sz w:val="21"/>
                <w:szCs w:val="21"/>
              </w:rPr>
              <w:t>5.3/6.2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sz w:val="21"/>
                <w:szCs w:val="21"/>
              </w:rPr>
              <w:t>/8.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/>
                <w:sz w:val="21"/>
                <w:szCs w:val="21"/>
              </w:rPr>
              <w:t>/8.5.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sz w:val="21"/>
                <w:szCs w:val="21"/>
              </w:rPr>
              <w:t>/8.5.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/>
                <w:sz w:val="21"/>
                <w:szCs w:val="21"/>
              </w:rPr>
              <w:t>/9.1.2</w:t>
            </w:r>
          </w:p>
        </w:tc>
        <w:tc>
          <w:tcPr>
            <w:tcW w:w="1278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ISC-22240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95" w:hRule="atLeast"/>
          <w:jc w:val="center"/>
        </w:trPr>
        <w:tc>
          <w:tcPr>
            <w:tcW w:w="1186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3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生产技术</w:t>
            </w:r>
            <w:r>
              <w:rPr>
                <w:rFonts w:hint="eastAsia"/>
                <w:sz w:val="21"/>
                <w:szCs w:val="21"/>
              </w:rPr>
              <w:t>部：组织的岗位、职责权限；目标；基础设施；运行环境；监视和测量资源；运行的策划和控制；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产品和服务的设计和开发；</w:t>
            </w:r>
            <w:r>
              <w:rPr>
                <w:rFonts w:hint="eastAsia"/>
                <w:sz w:val="21"/>
                <w:szCs w:val="21"/>
              </w:rPr>
              <w:t>生产和服务提供的控制；标识和可追溯性；产品防护；变更的控制；产品和服务的放行；不合格输出的控制；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涉及条款：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5.3/6.2/7.1.3/7.1.4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7.1.5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8.1/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8.3/</w:t>
            </w:r>
            <w:r>
              <w:rPr>
                <w:rFonts w:hint="eastAsia"/>
                <w:sz w:val="21"/>
                <w:szCs w:val="21"/>
              </w:rPr>
              <w:t>8.5.1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8.5.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sz w:val="21"/>
                <w:szCs w:val="21"/>
              </w:rPr>
              <w:t>/8.5.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/>
                <w:sz w:val="21"/>
                <w:szCs w:val="21"/>
              </w:rPr>
              <w:t>/8.5.6/8.6/8.7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</w:p>
        </w:tc>
        <w:tc>
          <w:tcPr>
            <w:tcW w:w="1278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ISC-22240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18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3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末次会议（管理层）</w:t>
            </w:r>
          </w:p>
        </w:tc>
        <w:tc>
          <w:tcPr>
            <w:tcW w:w="12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ISC-22240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11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注</w:t>
            </w: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:00-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13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</w:t>
            </w:r>
          </w:p>
        </w:tc>
        <w:tc>
          <w:tcPr>
            <w:tcW w:w="63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午休时间</w:t>
            </w:r>
          </w:p>
        </w:tc>
        <w:tc>
          <w:tcPr>
            <w:tcW w:w="12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b w:val="0"/>
                <w:bCs w:val="0"/>
                <w:sz w:val="21"/>
                <w:szCs w:val="21"/>
              </w:rPr>
            </w:pPr>
          </w:p>
        </w:tc>
      </w:tr>
    </w:tbl>
    <w:p>
      <w:pPr>
        <w:pStyle w:val="9"/>
        <w:numPr>
          <w:ilvl w:val="0"/>
          <w:numId w:val="0"/>
        </w:numPr>
        <w:spacing w:line="300" w:lineRule="exact"/>
        <w:ind w:left="360" w:leftChars="0"/>
        <w:rPr>
          <w:rFonts w:ascii="宋体" w:hAnsi="宋体"/>
          <w:b/>
          <w:sz w:val="18"/>
          <w:szCs w:val="18"/>
        </w:rPr>
      </w:pP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1"/>
        <w:rFonts w:hint="default"/>
        <w:w w:val="90"/>
      </w:rPr>
    </w:pPr>
    <w:r>
      <w:pict>
        <v:shape id="_x0000_s2049" o:spid="_x0000_s2049" o:spt="202" type="#_x0000_t202" style="position:absolute;left:0pt;margin-left:360.75pt;margin-top:9.9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CE47332"/>
    <w:rsid w:val="508B3432"/>
    <w:rsid w:val="65532DDD"/>
    <w:rsid w:val="78E309E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189</Words>
  <Characters>1079</Characters>
  <Lines>8</Lines>
  <Paragraphs>2</Paragraphs>
  <TotalTime>2</TotalTime>
  <ScaleCrop>false</ScaleCrop>
  <LinksUpToDate>false</LinksUpToDate>
  <CharactersWithSpaces>1266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至鱼</cp:lastModifiedBy>
  <dcterms:modified xsi:type="dcterms:W3CDTF">2021-03-05T01:22:48Z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