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pPr>
      <w:r>
        <w:rPr>
          <w:rFonts w:hint="eastAsia" w:asciiTheme="minorEastAsia" w:hAnsiTheme="minorEastAsia" w:eastAsiaTheme="minorEastAsia" w:cstheme="minorEastAsia"/>
          <w:bCs/>
          <w:color w:val="000000"/>
          <w:sz w:val="36"/>
          <w:szCs w:val="36"/>
        </w:rPr>
        <w:t>管理体系审核记录表</w:t>
      </w:r>
    </w:p>
    <w:tbl>
      <w:tblPr>
        <w:tblStyle w:val="19"/>
        <w:tblW w:w="147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3"/>
        <w:gridCol w:w="965"/>
        <w:gridCol w:w="1092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173" w:type="dxa"/>
            <w:vMerge w:val="restart"/>
            <w:vAlign w:val="center"/>
          </w:tcPr>
          <w:p>
            <w:pPr>
              <w:spacing w:before="12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过程与活动、</w:t>
            </w:r>
          </w:p>
          <w:p>
            <w:pPr>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抽样计划</w:t>
            </w:r>
          </w:p>
        </w:tc>
        <w:tc>
          <w:tcPr>
            <w:tcW w:w="965" w:type="dxa"/>
            <w:vMerge w:val="restart"/>
            <w:vAlign w:val="center"/>
          </w:tcPr>
          <w:p>
            <w:pP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涉及</w:t>
            </w:r>
          </w:p>
          <w:p>
            <w:pP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条款</w:t>
            </w:r>
          </w:p>
        </w:tc>
        <w:tc>
          <w:tcPr>
            <w:tcW w:w="10927" w:type="dxa"/>
            <w:vAlign w:val="center"/>
          </w:tcPr>
          <w:p>
            <w:pPr>
              <w:rPr>
                <w:rFonts w:hint="eastAsia" w:ascii="Times New Roman" w:hAnsi="Times New Roman" w:cs="Times New Roman"/>
                <w:szCs w:val="22"/>
                <w:highlight w:val="none"/>
                <w:lang w:eastAsia="zh-CN"/>
              </w:rPr>
            </w:pPr>
            <w:r>
              <w:rPr>
                <w:rFonts w:ascii="Times New Roman" w:hAnsi="Times New Roman" w:cs="Times New Roman"/>
                <w:szCs w:val="22"/>
                <w:highlight w:val="none"/>
              </w:rPr>
              <w:t>受审核部门：</w:t>
            </w:r>
            <w:r>
              <w:rPr>
                <w:rFonts w:hint="eastAsia" w:cs="Times New Roman"/>
                <w:szCs w:val="22"/>
                <w:highlight w:val="none"/>
                <w:lang w:val="en-US" w:eastAsia="zh-CN"/>
              </w:rPr>
              <w:t>生产生产技术部</w:t>
            </w:r>
            <w:r>
              <w:rPr>
                <w:rFonts w:ascii="Times New Roman" w:hAnsi="Times New Roman" w:cs="Times New Roman"/>
                <w:szCs w:val="22"/>
                <w:highlight w:val="none"/>
              </w:rPr>
              <w:t xml:space="preserve">     </w:t>
            </w:r>
            <w:r>
              <w:rPr>
                <w:rFonts w:hint="eastAsia" w:ascii="Times New Roman" w:hAnsi="Times New Roman" w:cs="Times New Roman"/>
                <w:szCs w:val="22"/>
                <w:highlight w:val="none"/>
                <w:lang w:val="en-US" w:eastAsia="zh-CN"/>
              </w:rPr>
              <w:t xml:space="preserve">   </w:t>
            </w:r>
            <w:r>
              <w:rPr>
                <w:rFonts w:ascii="Times New Roman" w:hAnsi="Times New Roman" w:cs="Times New Roman"/>
                <w:szCs w:val="22"/>
                <w:highlight w:val="none"/>
              </w:rPr>
              <w:t>主管领导：</w:t>
            </w:r>
            <w:r>
              <w:rPr>
                <w:rFonts w:hint="eastAsia" w:cs="Times New Roman"/>
                <w:szCs w:val="22"/>
                <w:highlight w:val="none"/>
                <w:lang w:eastAsia="zh-CN"/>
              </w:rPr>
              <w:t>张永莉</w:t>
            </w:r>
            <w:r>
              <w:rPr>
                <w:rFonts w:ascii="Times New Roman" w:hAnsi="Times New Roman" w:cs="Times New Roman"/>
                <w:szCs w:val="22"/>
                <w:highlight w:val="none"/>
              </w:rPr>
              <w:t xml:space="preserve">  </w:t>
            </w:r>
            <w:r>
              <w:rPr>
                <w:rFonts w:hint="eastAsia" w:ascii="Times New Roman" w:hAnsi="Times New Roman" w:cs="Times New Roman"/>
                <w:szCs w:val="22"/>
                <w:highlight w:val="none"/>
              </w:rPr>
              <w:t xml:space="preserve"> </w:t>
            </w:r>
            <w:r>
              <w:rPr>
                <w:rFonts w:hint="eastAsia" w:ascii="Times New Roman" w:hAnsi="Times New Roman" w:cs="Times New Roman"/>
                <w:szCs w:val="22"/>
                <w:highlight w:val="none"/>
                <w:lang w:val="en-US" w:eastAsia="zh-CN"/>
              </w:rPr>
              <w:t xml:space="preserve">   </w:t>
            </w:r>
            <w:r>
              <w:rPr>
                <w:rFonts w:ascii="Times New Roman" w:hAnsi="Times New Roman" w:cs="Times New Roman"/>
                <w:szCs w:val="22"/>
                <w:highlight w:val="none"/>
              </w:rPr>
              <w:t xml:space="preserve"> 陪同人员：</w:t>
            </w:r>
            <w:r>
              <w:rPr>
                <w:rFonts w:hint="eastAsia" w:cs="Times New Roman"/>
                <w:szCs w:val="22"/>
                <w:highlight w:val="none"/>
                <w:lang w:eastAsia="zh-CN"/>
              </w:rPr>
              <w:t>宋超</w:t>
            </w:r>
          </w:p>
        </w:tc>
        <w:tc>
          <w:tcPr>
            <w:tcW w:w="732" w:type="dxa"/>
            <w:vMerge w:val="restart"/>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173" w:type="dxa"/>
            <w:vMerge w:val="continue"/>
            <w:vAlign w:val="center"/>
          </w:tcPr>
          <w:p>
            <w:pPr>
              <w:rPr>
                <w:rFonts w:hint="eastAsia" w:asciiTheme="minorEastAsia" w:hAnsiTheme="minorEastAsia" w:eastAsiaTheme="minorEastAsia" w:cstheme="minorEastAsia"/>
                <w:sz w:val="21"/>
                <w:szCs w:val="21"/>
                <w:highlight w:val="none"/>
              </w:rPr>
            </w:pPr>
          </w:p>
        </w:tc>
        <w:tc>
          <w:tcPr>
            <w:tcW w:w="965" w:type="dxa"/>
            <w:vMerge w:val="continue"/>
            <w:vAlign w:val="center"/>
          </w:tcPr>
          <w:p>
            <w:pPr>
              <w:rPr>
                <w:rFonts w:hint="eastAsia" w:asciiTheme="minorEastAsia" w:hAnsiTheme="minorEastAsia" w:eastAsiaTheme="minorEastAsia" w:cstheme="minorEastAsia"/>
                <w:sz w:val="21"/>
                <w:szCs w:val="21"/>
                <w:highlight w:val="none"/>
              </w:rPr>
            </w:pPr>
          </w:p>
        </w:tc>
        <w:tc>
          <w:tcPr>
            <w:tcW w:w="10927" w:type="dxa"/>
            <w:vAlign w:val="center"/>
          </w:tcPr>
          <w:p>
            <w:pPr>
              <w:rPr>
                <w:rFonts w:hint="eastAsia" w:ascii="Times New Roman" w:hAnsi="Times New Roman" w:cs="Times New Roman"/>
                <w:szCs w:val="22"/>
                <w:highlight w:val="none"/>
              </w:rPr>
            </w:pPr>
            <w:r>
              <w:rPr>
                <w:rFonts w:hint="eastAsia" w:ascii="Times New Roman" w:hAnsi="Times New Roman" w:cs="Times New Roman"/>
                <w:szCs w:val="22"/>
                <w:highlight w:val="none"/>
              </w:rPr>
              <w:t>审核员：</w:t>
            </w:r>
            <w:r>
              <w:rPr>
                <w:rFonts w:hint="eastAsia" w:cs="Times New Roman"/>
                <w:szCs w:val="22"/>
                <w:highlight w:val="none"/>
                <w:lang w:val="en-US" w:eastAsia="zh-CN"/>
              </w:rPr>
              <w:t>强兴</w:t>
            </w:r>
            <w:r>
              <w:rPr>
                <w:rFonts w:hint="eastAsia" w:ascii="Times New Roman" w:hAnsi="Times New Roman" w:cs="Times New Roman"/>
                <w:szCs w:val="22"/>
                <w:highlight w:val="none"/>
                <w:lang w:val="en-US" w:eastAsia="zh-CN"/>
              </w:rPr>
              <w:t xml:space="preserve">             </w:t>
            </w:r>
            <w:r>
              <w:rPr>
                <w:rFonts w:hint="eastAsia" w:ascii="Times New Roman" w:hAnsi="Times New Roman" w:cs="Times New Roman"/>
                <w:szCs w:val="22"/>
                <w:highlight w:val="none"/>
              </w:rPr>
              <w:t>审核时间：202</w:t>
            </w:r>
            <w:r>
              <w:rPr>
                <w:rFonts w:hint="eastAsia" w:ascii="Times New Roman" w:hAnsi="Times New Roman" w:cs="Times New Roman"/>
                <w:szCs w:val="22"/>
                <w:highlight w:val="none"/>
                <w:lang w:val="en-US" w:eastAsia="zh-CN"/>
              </w:rPr>
              <w:t>1</w:t>
            </w:r>
            <w:r>
              <w:rPr>
                <w:rFonts w:hint="eastAsia" w:ascii="Times New Roman" w:hAnsi="Times New Roman" w:cs="Times New Roman"/>
                <w:szCs w:val="22"/>
                <w:highlight w:val="none"/>
              </w:rPr>
              <w:t>年</w:t>
            </w:r>
            <w:r>
              <w:rPr>
                <w:rFonts w:hint="eastAsia" w:cs="Times New Roman"/>
                <w:szCs w:val="22"/>
                <w:highlight w:val="none"/>
                <w:lang w:val="en-US" w:eastAsia="zh-CN"/>
              </w:rPr>
              <w:t>4</w:t>
            </w:r>
            <w:r>
              <w:rPr>
                <w:rFonts w:hint="eastAsia" w:ascii="Times New Roman" w:hAnsi="Times New Roman" w:cs="Times New Roman"/>
                <w:szCs w:val="22"/>
                <w:highlight w:val="none"/>
              </w:rPr>
              <w:t>月</w:t>
            </w:r>
            <w:r>
              <w:rPr>
                <w:rFonts w:hint="eastAsia" w:cs="Times New Roman"/>
                <w:szCs w:val="22"/>
                <w:highlight w:val="none"/>
                <w:lang w:val="en-US" w:eastAsia="zh-CN"/>
              </w:rPr>
              <w:t>1</w:t>
            </w:r>
            <w:r>
              <w:rPr>
                <w:rFonts w:hint="eastAsia" w:ascii="Times New Roman" w:hAnsi="Times New Roman" w:cs="Times New Roman"/>
                <w:szCs w:val="22"/>
                <w:highlight w:val="none"/>
              </w:rPr>
              <w:t>日</w:t>
            </w:r>
          </w:p>
        </w:tc>
        <w:tc>
          <w:tcPr>
            <w:tcW w:w="732"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73" w:type="dxa"/>
            <w:vMerge w:val="continue"/>
            <w:vAlign w:val="center"/>
          </w:tcPr>
          <w:p>
            <w:pPr>
              <w:rPr>
                <w:rFonts w:hint="eastAsia" w:asciiTheme="minorEastAsia" w:hAnsiTheme="minorEastAsia" w:eastAsiaTheme="minorEastAsia" w:cstheme="minorEastAsia"/>
                <w:sz w:val="21"/>
                <w:szCs w:val="21"/>
                <w:highlight w:val="none"/>
              </w:rPr>
            </w:pPr>
          </w:p>
        </w:tc>
        <w:tc>
          <w:tcPr>
            <w:tcW w:w="965" w:type="dxa"/>
            <w:vMerge w:val="continue"/>
            <w:vAlign w:val="center"/>
          </w:tcPr>
          <w:p>
            <w:pPr>
              <w:rPr>
                <w:rFonts w:hint="eastAsia" w:asciiTheme="minorEastAsia" w:hAnsiTheme="minorEastAsia" w:eastAsiaTheme="minorEastAsia" w:cstheme="minorEastAsia"/>
                <w:sz w:val="21"/>
                <w:szCs w:val="21"/>
                <w:highlight w:val="none"/>
              </w:rPr>
            </w:pPr>
          </w:p>
        </w:tc>
        <w:tc>
          <w:tcPr>
            <w:tcW w:w="10927" w:type="dxa"/>
            <w:vAlign w:val="center"/>
          </w:tcPr>
          <w:p>
            <w:pPr>
              <w:rPr>
                <w:rFonts w:hint="eastAsia" w:ascii="Times New Roman" w:hAnsi="Times New Roman" w:cs="Times New Roman"/>
                <w:szCs w:val="22"/>
                <w:highlight w:val="none"/>
              </w:rPr>
            </w:pPr>
            <w:r>
              <w:rPr>
                <w:rFonts w:hint="eastAsia" w:ascii="Times New Roman" w:hAnsi="Times New Roman" w:cs="Times New Roman"/>
                <w:szCs w:val="22"/>
                <w:highlight w:val="none"/>
              </w:rPr>
              <w:t>审核条款：</w:t>
            </w:r>
          </w:p>
          <w:p>
            <w:pPr>
              <w:rPr>
                <w:rFonts w:hint="eastAsia" w:ascii="Times New Roman" w:hAnsi="Times New Roman" w:cs="Times New Roman"/>
                <w:szCs w:val="22"/>
                <w:highlight w:val="none"/>
              </w:rPr>
            </w:pPr>
            <w:r>
              <w:rPr>
                <w:rFonts w:hint="eastAsia" w:ascii="宋体" w:hAnsi="宋体" w:cs="Arial"/>
                <w:color w:val="auto"/>
                <w:sz w:val="21"/>
                <w:szCs w:val="21"/>
                <w:lang w:val="en-US" w:eastAsia="zh-CN"/>
              </w:rPr>
              <w:t>Q:</w:t>
            </w:r>
            <w:r>
              <w:rPr>
                <w:rFonts w:hint="eastAsia" w:ascii="宋体" w:hAnsi="宋体" w:cs="Arial"/>
                <w:color w:val="auto"/>
                <w:sz w:val="21"/>
                <w:szCs w:val="21"/>
              </w:rPr>
              <w:t>8.5.1</w:t>
            </w:r>
            <w:r>
              <w:rPr>
                <w:rFonts w:hint="eastAsia" w:ascii="宋体" w:hAnsi="宋体" w:cs="Arial"/>
                <w:color w:val="auto"/>
                <w:sz w:val="21"/>
                <w:szCs w:val="21"/>
                <w:lang w:eastAsia="zh-CN"/>
              </w:rPr>
              <w:t>（</w:t>
            </w:r>
            <w:r>
              <w:rPr>
                <w:rFonts w:hint="eastAsia" w:ascii="宋体" w:hAnsi="宋体" w:cs="Arial"/>
                <w:color w:val="auto"/>
                <w:sz w:val="21"/>
                <w:szCs w:val="21"/>
                <w:lang w:val="en-US" w:eastAsia="zh-CN"/>
              </w:rPr>
              <w:t>技术服务</w:t>
            </w:r>
            <w:r>
              <w:rPr>
                <w:rFonts w:hint="eastAsia" w:ascii="宋体" w:hAnsi="宋体" w:cs="Arial"/>
                <w:color w:val="auto"/>
                <w:sz w:val="21"/>
                <w:szCs w:val="21"/>
                <w:lang w:eastAsia="zh-CN"/>
              </w:rPr>
              <w:t>）、</w:t>
            </w:r>
            <w:r>
              <w:rPr>
                <w:rFonts w:hint="eastAsia" w:ascii="宋体" w:hAnsi="宋体" w:cs="Arial"/>
                <w:color w:val="auto"/>
                <w:sz w:val="21"/>
                <w:szCs w:val="21"/>
              </w:rPr>
              <w:t>8.5.2</w:t>
            </w:r>
            <w:r>
              <w:rPr>
                <w:rFonts w:hint="eastAsia" w:ascii="宋体" w:hAnsi="宋体" w:cs="Arial"/>
                <w:color w:val="auto"/>
                <w:sz w:val="21"/>
                <w:szCs w:val="21"/>
                <w:lang w:eastAsia="zh-CN"/>
              </w:rPr>
              <w:t>、</w:t>
            </w:r>
            <w:r>
              <w:rPr>
                <w:rFonts w:hint="eastAsia" w:ascii="宋体" w:hAnsi="宋体" w:cs="Arial"/>
                <w:color w:val="auto"/>
                <w:sz w:val="21"/>
                <w:szCs w:val="21"/>
              </w:rPr>
              <w:t>8.5.3</w:t>
            </w:r>
            <w:r>
              <w:rPr>
                <w:rFonts w:hint="eastAsia" w:ascii="宋体" w:hAnsi="宋体" w:cs="Arial"/>
                <w:color w:val="auto"/>
                <w:sz w:val="21"/>
                <w:szCs w:val="21"/>
                <w:lang w:eastAsia="zh-CN"/>
              </w:rPr>
              <w:t>、</w:t>
            </w:r>
            <w:r>
              <w:rPr>
                <w:rFonts w:hint="eastAsia" w:ascii="宋体" w:hAnsi="宋体" w:cs="Arial"/>
                <w:color w:val="auto"/>
                <w:sz w:val="21"/>
                <w:szCs w:val="21"/>
              </w:rPr>
              <w:t>8.5.4</w:t>
            </w:r>
            <w:r>
              <w:rPr>
                <w:rFonts w:hint="eastAsia" w:ascii="宋体" w:hAnsi="宋体" w:cs="Arial"/>
                <w:color w:val="auto"/>
                <w:sz w:val="21"/>
                <w:szCs w:val="21"/>
                <w:lang w:eastAsia="zh-CN"/>
              </w:rPr>
              <w:t>、</w:t>
            </w:r>
            <w:r>
              <w:rPr>
                <w:rFonts w:hint="eastAsia" w:ascii="宋体" w:hAnsi="宋体" w:cs="Arial"/>
                <w:color w:val="auto"/>
                <w:sz w:val="21"/>
                <w:szCs w:val="21"/>
              </w:rPr>
              <w:t>8.5.5</w:t>
            </w:r>
            <w:r>
              <w:rPr>
                <w:rFonts w:hint="eastAsia" w:ascii="宋体" w:hAnsi="宋体" w:cs="Arial"/>
                <w:color w:val="auto"/>
                <w:sz w:val="21"/>
                <w:szCs w:val="21"/>
                <w:lang w:eastAsia="zh-CN"/>
              </w:rPr>
              <w:t>、</w:t>
            </w:r>
            <w:r>
              <w:rPr>
                <w:rFonts w:hint="eastAsia" w:ascii="宋体" w:hAnsi="宋体" w:cs="Arial"/>
                <w:color w:val="auto"/>
                <w:sz w:val="21"/>
                <w:szCs w:val="21"/>
              </w:rPr>
              <w:t>8.5.</w:t>
            </w:r>
            <w:r>
              <w:rPr>
                <w:rFonts w:hint="eastAsia" w:ascii="宋体" w:hAnsi="宋体" w:cs="Arial"/>
                <w:color w:val="auto"/>
                <w:sz w:val="21"/>
                <w:szCs w:val="21"/>
                <w:lang w:val="en-US" w:eastAsia="zh-CN"/>
              </w:rPr>
              <w:t>6、</w:t>
            </w:r>
            <w:r>
              <w:rPr>
                <w:rFonts w:hint="eastAsia" w:ascii="宋体" w:hAnsi="宋体" w:cs="Arial"/>
                <w:color w:val="auto"/>
                <w:sz w:val="21"/>
                <w:szCs w:val="21"/>
              </w:rPr>
              <w:t>8.6</w:t>
            </w:r>
            <w:r>
              <w:rPr>
                <w:rFonts w:hint="eastAsia" w:ascii="宋体" w:hAnsi="宋体" w:cs="Arial"/>
                <w:color w:val="auto"/>
                <w:sz w:val="21"/>
                <w:szCs w:val="21"/>
                <w:lang w:eastAsia="zh-CN"/>
              </w:rPr>
              <w:t>、</w:t>
            </w:r>
            <w:r>
              <w:rPr>
                <w:rFonts w:hint="eastAsia" w:ascii="宋体" w:hAnsi="宋体" w:cs="Arial"/>
                <w:color w:val="auto"/>
                <w:sz w:val="21"/>
                <w:szCs w:val="21"/>
              </w:rPr>
              <w:t>8.7</w:t>
            </w:r>
          </w:p>
        </w:tc>
        <w:tc>
          <w:tcPr>
            <w:tcW w:w="732"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73" w:type="dxa"/>
            <w:vAlign w:val="top"/>
          </w:tcPr>
          <w:p>
            <w:pPr>
              <w:rPr>
                <w:rFonts w:hint="eastAsia" w:ascii="宋体" w:hAnsi="宋体" w:cs="Arial"/>
                <w:color w:val="auto"/>
                <w:szCs w:val="21"/>
              </w:rPr>
            </w:pPr>
            <w:r>
              <w:rPr>
                <w:rFonts w:hint="eastAsia" w:ascii="宋体" w:hAnsi="宋体" w:cs="Arial"/>
                <w:color w:val="auto"/>
                <w:szCs w:val="21"/>
              </w:rPr>
              <w:t>产品和服务提供的控制</w:t>
            </w:r>
          </w:p>
          <w:p>
            <w:pPr>
              <w:pStyle w:val="18"/>
              <w:rPr>
                <w:rFonts w:hint="eastAsia" w:ascii="宋体" w:hAnsi="宋体" w:cs="Arial"/>
                <w:color w:val="auto"/>
                <w:szCs w:val="21"/>
              </w:rPr>
            </w:pPr>
          </w:p>
          <w:p>
            <w:pPr>
              <w:pStyle w:val="18"/>
              <w:rPr>
                <w:rFonts w:hint="eastAsia" w:ascii="宋体" w:hAnsi="宋体" w:cs="Arial"/>
                <w:color w:val="auto"/>
                <w:szCs w:val="21"/>
              </w:rPr>
            </w:pPr>
          </w:p>
          <w:p>
            <w:pPr>
              <w:spacing w:line="360" w:lineRule="auto"/>
              <w:rPr>
                <w:rFonts w:ascii="宋体" w:hAnsi="宋体" w:cs="Arial"/>
                <w:color w:val="auto"/>
                <w:szCs w:val="21"/>
              </w:rPr>
            </w:pPr>
            <w:r>
              <w:rPr>
                <w:rFonts w:hint="eastAsia" w:ascii="宋体" w:hAnsi="宋体" w:cs="Arial"/>
                <w:color w:val="auto"/>
                <w:szCs w:val="21"/>
              </w:rPr>
              <w:t>放行</w:t>
            </w:r>
          </w:p>
          <w:p>
            <w:pPr>
              <w:rPr>
                <w:rFonts w:hint="eastAsia" w:asciiTheme="minorEastAsia" w:hAnsiTheme="minorEastAsia" w:eastAsiaTheme="minorEastAsia" w:cstheme="minorEastAsia"/>
                <w:sz w:val="21"/>
                <w:szCs w:val="21"/>
                <w:highlight w:val="none"/>
              </w:rPr>
            </w:pPr>
          </w:p>
        </w:tc>
        <w:tc>
          <w:tcPr>
            <w:tcW w:w="965" w:type="dxa"/>
            <w:vAlign w:val="top"/>
          </w:tcPr>
          <w:p>
            <w:pPr>
              <w:rPr>
                <w:rFonts w:hint="eastAsia" w:ascii="宋体" w:hAnsi="宋体" w:cs="Arial"/>
                <w:color w:val="auto"/>
                <w:szCs w:val="21"/>
              </w:rPr>
            </w:pPr>
            <w:r>
              <w:rPr>
                <w:rFonts w:hint="eastAsia" w:ascii="宋体" w:hAnsi="宋体" w:cs="Arial"/>
                <w:color w:val="auto"/>
                <w:szCs w:val="21"/>
              </w:rPr>
              <w:t>Q:8.5.1</w:t>
            </w:r>
          </w:p>
          <w:p>
            <w:pPr>
              <w:rPr>
                <w:rFonts w:hint="eastAsia" w:ascii="宋体" w:hAnsi="宋体" w:cs="Arial"/>
                <w:color w:val="auto"/>
                <w:szCs w:val="21"/>
              </w:rPr>
            </w:pPr>
          </w:p>
          <w:p>
            <w:pPr>
              <w:pStyle w:val="18"/>
              <w:rPr>
                <w:rFonts w:hint="eastAsia" w:ascii="宋体" w:hAnsi="宋体" w:cs="Arial"/>
                <w:color w:val="auto"/>
                <w:szCs w:val="21"/>
              </w:rPr>
            </w:pPr>
          </w:p>
          <w:p>
            <w:pPr>
              <w:pStyle w:val="18"/>
              <w:rPr>
                <w:rFonts w:hint="eastAsia" w:ascii="宋体" w:hAnsi="宋体" w:cs="Arial"/>
                <w:color w:val="auto"/>
                <w:szCs w:val="21"/>
              </w:rPr>
            </w:pPr>
          </w:p>
          <w:p>
            <w:pPr>
              <w:pStyle w:val="18"/>
              <w:rPr>
                <w:rFonts w:hint="eastAsia" w:ascii="宋体" w:hAnsi="宋体" w:cs="Arial"/>
                <w:color w:val="auto"/>
                <w:szCs w:val="21"/>
              </w:rPr>
            </w:pPr>
          </w:p>
          <w:p>
            <w:pPr>
              <w:rPr>
                <w:rFonts w:hint="eastAsia" w:eastAsia="宋体"/>
                <w:color w:val="auto"/>
                <w:lang w:val="en-US" w:eastAsia="zh-CN"/>
              </w:rPr>
            </w:pPr>
            <w:r>
              <w:rPr>
                <w:rFonts w:hint="eastAsia" w:ascii="宋体" w:hAnsi="宋体" w:cs="Arial"/>
                <w:color w:val="auto"/>
                <w:szCs w:val="21"/>
              </w:rPr>
              <w:t>Q:8.</w:t>
            </w:r>
            <w:r>
              <w:rPr>
                <w:rFonts w:hint="eastAsia" w:ascii="宋体" w:hAnsi="宋体" w:cs="Arial"/>
                <w:color w:val="auto"/>
                <w:szCs w:val="21"/>
                <w:lang w:val="en-US" w:eastAsia="zh-CN"/>
              </w:rPr>
              <w:t>6</w:t>
            </w:r>
          </w:p>
          <w:p>
            <w:pPr>
              <w:rPr>
                <w:rFonts w:ascii="宋体" w:hAnsi="宋体" w:cs="Arial"/>
                <w:color w:val="auto"/>
                <w:szCs w:val="21"/>
              </w:rPr>
            </w:pPr>
          </w:p>
          <w:p>
            <w:pPr>
              <w:rPr>
                <w:rFonts w:hint="eastAsia" w:asciiTheme="minorEastAsia" w:hAnsiTheme="minorEastAsia" w:eastAsiaTheme="minorEastAsia" w:cstheme="minorEastAsia"/>
                <w:sz w:val="21"/>
                <w:szCs w:val="21"/>
                <w:highlight w:val="none"/>
              </w:rPr>
            </w:pPr>
          </w:p>
        </w:tc>
        <w:tc>
          <w:tcPr>
            <w:tcW w:w="10927" w:type="dxa"/>
            <w:vAlign w:val="center"/>
          </w:tcPr>
          <w:p>
            <w:pPr>
              <w:spacing w:line="360" w:lineRule="auto"/>
              <w:ind w:left="420" w:leftChars="200"/>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技术服务</w:t>
            </w:r>
            <w:r>
              <w:rPr>
                <w:rFonts w:hint="eastAsia" w:ascii="宋体" w:hAnsi="宋体" w:cs="宋体"/>
                <w:color w:val="auto"/>
                <w:sz w:val="21"/>
                <w:szCs w:val="21"/>
              </w:rPr>
              <w:t>基本流程：顾客需求→需求调研/分析→实施服务→客户测试验收</w:t>
            </w:r>
            <w:r>
              <w:rPr>
                <w:rFonts w:hint="eastAsia" w:ascii="宋体" w:hAnsi="宋体" w:eastAsia="宋体" w:cs="宋体"/>
                <w:color w:val="auto"/>
                <w:sz w:val="21"/>
                <w:szCs w:val="21"/>
                <w:lang w:val="en-US" w:eastAsia="zh-CN"/>
              </w:rPr>
              <w:t>。</w:t>
            </w:r>
          </w:p>
          <w:p>
            <w:pPr>
              <w:spacing w:line="360" w:lineRule="auto"/>
              <w:ind w:left="420" w:leftChars="200"/>
              <w:rPr>
                <w:rFonts w:hint="default" w:ascii="宋体" w:hAnsi="宋体" w:cs="宋体"/>
                <w:color w:val="auto"/>
                <w:sz w:val="21"/>
                <w:szCs w:val="21"/>
                <w:lang w:val="en-US"/>
              </w:rPr>
            </w:pPr>
            <w:r>
              <w:rPr>
                <w:rFonts w:hint="eastAsia" w:ascii="宋体" w:hAnsi="宋体" w:cs="宋体"/>
                <w:color w:val="auto"/>
                <w:sz w:val="21"/>
                <w:szCs w:val="21"/>
                <w:lang w:val="en-US" w:eastAsia="zh-CN"/>
              </w:rPr>
              <w:t>以下为技术服务过程。</w:t>
            </w:r>
          </w:p>
          <w:p>
            <w:pPr>
              <w:numPr>
                <w:ilvl w:val="0"/>
                <w:numId w:val="2"/>
              </w:numPr>
              <w:autoSpaceDE w:val="0"/>
              <w:autoSpaceDN w:val="0"/>
              <w:adjustRightInd w:val="0"/>
              <w:snapToGrid w:val="0"/>
              <w:spacing w:line="360" w:lineRule="auto"/>
              <w:ind w:right="-6" w:rightChars="-3"/>
              <w:rPr>
                <w:rFonts w:hint="eastAsia"/>
                <w:lang w:val="en-US" w:eastAsia="zh-CN"/>
              </w:rPr>
            </w:pPr>
            <w:r>
              <w:rPr>
                <w:rFonts w:hint="eastAsia" w:asciiTheme="minorEastAsia" w:hAnsiTheme="minorEastAsia" w:eastAsiaTheme="minorEastAsia" w:cstheme="minorEastAsia"/>
                <w:color w:val="auto"/>
                <w:sz w:val="21"/>
                <w:szCs w:val="21"/>
              </w:rPr>
              <w:t>查看</w:t>
            </w:r>
            <w:r>
              <w:rPr>
                <w:rFonts w:hint="eastAsia" w:asciiTheme="minorEastAsia" w:hAnsiTheme="minorEastAsia" w:eastAsiaTheme="minorEastAsia" w:cstheme="minorEastAsia"/>
                <w:color w:val="auto"/>
                <w:sz w:val="21"/>
                <w:szCs w:val="21"/>
                <w:lang w:val="en-US" w:eastAsia="zh-CN"/>
              </w:rPr>
              <w:t>公司</w:t>
            </w:r>
            <w:r>
              <w:rPr>
                <w:rFonts w:hint="eastAsia"/>
                <w:lang w:val="en-US" w:eastAsia="zh-CN"/>
              </w:rPr>
              <w:t>2020.12.15与甲方中海油能源发展股份有限公司签订《国外海上油气田弃置工程研究服务合同》，技术服务内容：国外海上油气田弃置工程研究服务。</w:t>
            </w:r>
          </w:p>
          <w:p>
            <w:pPr>
              <w:pStyle w:val="7"/>
              <w:spacing w:line="360" w:lineRule="auto"/>
              <w:ind w:left="0" w:leftChars="0" w:firstLine="0" w:firstLineChars="0"/>
              <w:rPr>
                <w:rFonts w:hint="eastAsia"/>
                <w:lang w:val="en-US" w:eastAsia="zh-CN"/>
              </w:rPr>
            </w:pPr>
            <w:r>
              <w:drawing>
                <wp:anchor distT="0" distB="0" distL="114300" distR="114300" simplePos="0" relativeHeight="251662336" behindDoc="0" locked="0" layoutInCell="1" allowOverlap="1">
                  <wp:simplePos x="0" y="0"/>
                  <wp:positionH relativeFrom="column">
                    <wp:posOffset>2317750</wp:posOffset>
                  </wp:positionH>
                  <wp:positionV relativeFrom="paragraph">
                    <wp:posOffset>49530</wp:posOffset>
                  </wp:positionV>
                  <wp:extent cx="2132330" cy="2831465"/>
                  <wp:effectExtent l="0" t="0" r="1270" b="635"/>
                  <wp:wrapNone/>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6"/>
                          <a:stretch>
                            <a:fillRect/>
                          </a:stretch>
                        </pic:blipFill>
                        <pic:spPr>
                          <a:xfrm>
                            <a:off x="0" y="0"/>
                            <a:ext cx="2132330" cy="2831465"/>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107950</wp:posOffset>
                  </wp:positionH>
                  <wp:positionV relativeFrom="paragraph">
                    <wp:posOffset>54610</wp:posOffset>
                  </wp:positionV>
                  <wp:extent cx="2106930" cy="2792730"/>
                  <wp:effectExtent l="0" t="0" r="1270" b="1270"/>
                  <wp:wrapNone/>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7"/>
                          <a:stretch>
                            <a:fillRect/>
                          </a:stretch>
                        </pic:blipFill>
                        <pic:spPr>
                          <a:xfrm>
                            <a:off x="0" y="0"/>
                            <a:ext cx="2106930" cy="2792730"/>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4578350</wp:posOffset>
                  </wp:positionH>
                  <wp:positionV relativeFrom="paragraph">
                    <wp:posOffset>57150</wp:posOffset>
                  </wp:positionV>
                  <wp:extent cx="2200275" cy="2805430"/>
                  <wp:effectExtent l="0" t="0" r="9525" b="1270"/>
                  <wp:wrapNone/>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8"/>
                          <a:stretch>
                            <a:fillRect/>
                          </a:stretch>
                        </pic:blipFill>
                        <pic:spPr>
                          <a:xfrm>
                            <a:off x="0" y="0"/>
                            <a:ext cx="2200275" cy="2805430"/>
                          </a:xfrm>
                          <a:prstGeom prst="rect">
                            <a:avLst/>
                          </a:prstGeom>
                          <a:noFill/>
                          <a:ln>
                            <a:noFill/>
                          </a:ln>
                        </pic:spPr>
                      </pic:pic>
                    </a:graphicData>
                  </a:graphic>
                </wp:anchor>
              </w:drawing>
            </w:r>
          </w:p>
          <w:p>
            <w:pPr>
              <w:pStyle w:val="7"/>
              <w:spacing w:line="360" w:lineRule="auto"/>
              <w:rPr>
                <w:rFonts w:hint="eastAsia"/>
                <w:lang w:val="en-US" w:eastAsia="zh-CN"/>
              </w:rPr>
            </w:pPr>
          </w:p>
          <w:p>
            <w:pPr>
              <w:pStyle w:val="7"/>
              <w:spacing w:line="360" w:lineRule="auto"/>
              <w:rPr>
                <w:rFonts w:hint="eastAsia"/>
                <w:lang w:val="en-US" w:eastAsia="zh-CN"/>
              </w:rPr>
            </w:pPr>
          </w:p>
          <w:p>
            <w:pPr>
              <w:pStyle w:val="7"/>
              <w:spacing w:line="360" w:lineRule="auto"/>
              <w:rPr>
                <w:rFonts w:hint="eastAsia"/>
                <w:lang w:val="en-US" w:eastAsia="zh-CN"/>
              </w:rPr>
            </w:pPr>
          </w:p>
          <w:p>
            <w:pPr>
              <w:pStyle w:val="7"/>
              <w:spacing w:line="360" w:lineRule="auto"/>
              <w:rPr>
                <w:rFonts w:hint="eastAsia"/>
                <w:lang w:val="en-US" w:eastAsia="zh-CN"/>
              </w:rPr>
            </w:pPr>
          </w:p>
          <w:p>
            <w:pPr>
              <w:pStyle w:val="7"/>
              <w:spacing w:line="360" w:lineRule="auto"/>
              <w:rPr>
                <w:rFonts w:hint="eastAsia"/>
                <w:lang w:val="en-US" w:eastAsia="zh-CN"/>
              </w:rPr>
            </w:pPr>
          </w:p>
          <w:p>
            <w:pPr>
              <w:pStyle w:val="7"/>
              <w:spacing w:line="360" w:lineRule="auto"/>
              <w:ind w:left="0" w:leftChars="0" w:firstLine="0" w:firstLineChars="0"/>
              <w:rPr>
                <w:rFonts w:hint="eastAsia"/>
                <w:lang w:val="en-US" w:eastAsia="zh-CN"/>
              </w:rPr>
            </w:pPr>
          </w:p>
          <w:p>
            <w:pPr>
              <w:pStyle w:val="7"/>
              <w:spacing w:line="360" w:lineRule="auto"/>
              <w:ind w:left="0" w:leftChars="0" w:firstLine="0" w:firstLineChars="0"/>
              <w:rPr>
                <w:rFonts w:hint="eastAsia"/>
                <w:lang w:val="en-US" w:eastAsia="zh-CN"/>
              </w:rPr>
            </w:pPr>
          </w:p>
          <w:p>
            <w:pPr>
              <w:keepNext w:val="0"/>
              <w:keepLines w:val="0"/>
              <w:suppressLineNumbers w:val="0"/>
              <w:spacing w:before="0" w:beforeAutospacing="0" w:after="0" w:afterAutospacing="0" w:line="360" w:lineRule="auto"/>
              <w:ind w:left="0" w:right="0" w:firstLine="420" w:firstLineChars="200"/>
              <w:rPr>
                <w:rFonts w:hint="eastAsia" w:asciiTheme="minorEastAsia" w:hAnsiTheme="minorEastAsia" w:eastAsiaTheme="minorEastAsia" w:cstheme="minorEastAsia"/>
                <w:color w:val="auto"/>
                <w:sz w:val="21"/>
                <w:szCs w:val="21"/>
              </w:rPr>
            </w:pPr>
          </w:p>
          <w:p>
            <w:pPr>
              <w:pStyle w:val="2"/>
              <w:spacing w:line="360" w:lineRule="auto"/>
              <w:rPr>
                <w:rFonts w:hint="eastAsia" w:asciiTheme="minorEastAsia" w:hAnsiTheme="minorEastAsia" w:eastAsiaTheme="minorEastAsia" w:cstheme="minorEastAsia"/>
                <w:color w:val="auto"/>
                <w:sz w:val="21"/>
                <w:szCs w:val="21"/>
              </w:rPr>
            </w:pPr>
          </w:p>
          <w:p>
            <w:pPr>
              <w:pStyle w:val="2"/>
              <w:spacing w:line="360" w:lineRule="auto"/>
              <w:rPr>
                <w:rFonts w:hint="eastAsia" w:asciiTheme="minorEastAsia" w:hAnsiTheme="minorEastAsia" w:eastAsiaTheme="minorEastAsia" w:cstheme="minorEastAsia"/>
                <w:color w:val="auto"/>
                <w:sz w:val="21"/>
                <w:szCs w:val="21"/>
              </w:rPr>
            </w:pPr>
          </w:p>
          <w:p>
            <w:pPr>
              <w:spacing w:line="360" w:lineRule="auto"/>
              <w:ind w:firstLine="420" w:firstLineChars="200"/>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服务具体要求：</w:t>
            </w:r>
          </w:p>
          <w:p>
            <w:pPr>
              <w:spacing w:line="360" w:lineRule="auto"/>
              <w:ind w:firstLine="420" w:firstLineChars="200"/>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（1）研究范围∶ 1980-2020 年，墨西哥湾（美国）、北海（英国、挪威）、东南亚海域（印尼、马来西亚、文莱、泰国），上述 3 处国外海上油气田区域内的油气井及生产设施的弃置发展情况研究。 2021- 2035年，上述 3 处海域内的油气井及生产设施弃置市场分析。</w:t>
            </w:r>
          </w:p>
          <w:p>
            <w:pPr>
              <w:spacing w:line="360" w:lineRule="auto"/>
              <w:ind w:firstLine="420" w:firstLineChars="200"/>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（2）上述 3 处海域，每个选取 1-2 个具有典型性的油气田作为弃置工程具体研究对象，弃置工程研究范围包括∶井筒弃置、海上作业设施上部组块、导管架、水下井口、海底管缆、FPSO 系泊单点、地貌恢复等。</w:t>
            </w:r>
          </w:p>
          <w:p>
            <w:pPr>
              <w:pStyle w:val="5"/>
              <w:spacing w:line="360" w:lineRule="auto"/>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3）联合国、国际海事组织，以及上述3 处海上油气田所属政府、行业及作业公司，在弃置工程管理与执行过程中，可适用的法规、规范及标准应用情况。</w:t>
            </w:r>
          </w:p>
          <w:p>
            <w:pPr>
              <w:pStyle w:val="5"/>
              <w:spacing w:line="360" w:lineRule="auto"/>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（4）海上油气田弃置工程经济可行性评估方法研究，并提出执行建议。</w:t>
            </w:r>
          </w:p>
          <w:p>
            <w:pPr>
              <w:pStyle w:val="5"/>
              <w:spacing w:line="360" w:lineRule="auto"/>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（5）海上油气田弃置工程实施申请与审批流程研究。</w:t>
            </w:r>
          </w:p>
          <w:p>
            <w:pPr>
              <w:pStyle w:val="5"/>
              <w:spacing w:line="360" w:lineRule="auto"/>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（6）油气井井筒弃置实施过程中的常见问题分析与研究，包括∶井筒完整性管理、封堵产品与技术应用、井筒带压处理、套管切割及举升等常见问题及应对技术研究。</w:t>
            </w:r>
          </w:p>
          <w:p>
            <w:pPr>
              <w:pStyle w:val="5"/>
              <w:spacing w:line="360" w:lineRule="auto"/>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（7）作业设施与海底管缆弃置实施过程中常见问题分析与研究，包括∶结构与设施的清洗、封隔、拆除、吊装、运输等具体作业流程及应用技术研究。</w:t>
            </w:r>
          </w:p>
          <w:p>
            <w:pPr>
              <w:pStyle w:val="5"/>
              <w:spacing w:line="360" w:lineRule="auto"/>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（8）弃置项目实施过程中出现的废弃物主要类型及危害分析与研究，包括∶ 清洁、封装、运输（含跨境运输）、存储、循环利用、分解等管理程序及应用技术研究。</w:t>
            </w:r>
          </w:p>
          <w:p>
            <w:pPr>
              <w:pStyle w:val="5"/>
              <w:spacing w:line="360" w:lineRule="auto"/>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（9）弃置项目实施过程中，健康、安全、环保管理工作研究，梳理出典型项目风险矩阵。</w:t>
            </w:r>
          </w:p>
          <w:p>
            <w:pPr>
              <w:pStyle w:val="5"/>
              <w:spacing w:line="360" w:lineRule="auto"/>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（10）弃置项目全周期内，影响进度的问题分析，以及针对如何做好进度控制的研究。</w:t>
            </w:r>
          </w:p>
          <w:p>
            <w:pPr>
              <w:pStyle w:val="5"/>
              <w:spacing w:line="360" w:lineRule="auto"/>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（11）影响弃置项目执行成本的关键因素分析与研究。</w:t>
            </w:r>
          </w:p>
          <w:p>
            <w:pPr>
              <w:pStyle w:val="5"/>
              <w:spacing w:line="360" w:lineRule="auto"/>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（12）基于上述研究成果，以马来西亚海域为研究目标，参照 PETRONAS 相关弃置管理规范，编写马来西亚海上某油气田弃置实操指南，主要内容包括但不限于∶ a、弃置项目经济评估方法推荐; b、弃置项目环境影响分析报告编写指导; c、弃置项目申请与审批工作流程指导; d、马来西亚弃置工程作业人员签证、设备进出口工作指导与建议; e、马来西亚弃置工程税费政策解读与建议;f、弃置项目实施方案编制指导; g、弃置项目本地供应链管理指导与建议;h、弃置项目作业管理指导与建议。</w:t>
            </w:r>
          </w:p>
          <w:p>
            <w:pPr>
              <w:keepNext w:val="0"/>
              <w:keepLines w:val="0"/>
              <w:suppressLineNumbers w:val="0"/>
              <w:tabs>
                <w:tab w:val="left" w:pos="-52"/>
              </w:tabs>
              <w:spacing w:before="0" w:beforeAutospacing="0" w:after="0" w:afterAutospacing="0" w:line="360" w:lineRule="auto"/>
              <w:ind w:right="0" w:firstLine="420" w:firstLineChars="200"/>
              <w:rPr>
                <w:rFonts w:hint="default" w:ascii="宋体" w:hAnsi="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 xml:space="preserve"> </w:t>
            </w:r>
            <w:r>
              <w:rPr>
                <w:rFonts w:hint="eastAsia" w:ascii="宋体" w:hAnsi="宋体" w:cs="宋体"/>
                <w:color w:val="auto"/>
                <w:kern w:val="0"/>
                <w:sz w:val="21"/>
                <w:szCs w:val="21"/>
                <w:highlight w:val="none"/>
                <w:lang w:val="en-US" w:eastAsia="zh-CN"/>
              </w:rPr>
              <w:t>据企业生产技术部经理张永莉表示，通过对 1980-2020 年，墨西哥湾（美国）、北海（英国、挪威）、东南亚海域（印尼、马来西亚、文莱、泰国），上述 3 处国外海上油气田区域内的油气井及生产设施的弃</w:t>
            </w:r>
            <w:bookmarkStart w:id="0" w:name="_GoBack"/>
            <w:bookmarkEnd w:id="0"/>
            <w:r>
              <w:rPr>
                <w:rFonts w:hint="eastAsia" w:ascii="宋体" w:hAnsi="宋体" w:cs="宋体"/>
                <w:color w:val="auto"/>
                <w:kern w:val="0"/>
                <w:sz w:val="21"/>
                <w:szCs w:val="21"/>
                <w:highlight w:val="none"/>
                <w:lang w:val="en-US" w:eastAsia="zh-CN"/>
              </w:rPr>
              <w:t>置发展情况研究。成果如下：</w:t>
            </w:r>
          </w:p>
          <w:p>
            <w:pPr>
              <w:pStyle w:val="2"/>
              <w:spacing w:line="360" w:lineRule="auto"/>
              <w:rPr>
                <w:rFonts w:hint="eastAsia" w:ascii="宋体" w:hAnsi="宋体" w:cs="宋体"/>
                <w:color w:val="auto"/>
                <w:kern w:val="0"/>
                <w:sz w:val="21"/>
                <w:szCs w:val="21"/>
                <w:highlight w:val="none"/>
                <w:lang w:val="en-US" w:eastAsia="zh-CN"/>
              </w:rPr>
            </w:pPr>
            <w:r>
              <w:drawing>
                <wp:anchor distT="0" distB="0" distL="114300" distR="114300" simplePos="0" relativeHeight="251666432" behindDoc="0" locked="0" layoutInCell="1" allowOverlap="1">
                  <wp:simplePos x="0" y="0"/>
                  <wp:positionH relativeFrom="column">
                    <wp:posOffset>4673600</wp:posOffset>
                  </wp:positionH>
                  <wp:positionV relativeFrom="paragraph">
                    <wp:posOffset>43180</wp:posOffset>
                  </wp:positionV>
                  <wp:extent cx="1887855" cy="2489835"/>
                  <wp:effectExtent l="0" t="0" r="4445" b="12065"/>
                  <wp:wrapNone/>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1887855" cy="2489835"/>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2292350</wp:posOffset>
                  </wp:positionH>
                  <wp:positionV relativeFrom="paragraph">
                    <wp:posOffset>30480</wp:posOffset>
                  </wp:positionV>
                  <wp:extent cx="1873885" cy="2496185"/>
                  <wp:effectExtent l="0" t="0" r="5715" b="5715"/>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1873885" cy="2496185"/>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19050</wp:posOffset>
                  </wp:positionH>
                  <wp:positionV relativeFrom="paragraph">
                    <wp:posOffset>15240</wp:posOffset>
                  </wp:positionV>
                  <wp:extent cx="1826895" cy="2518410"/>
                  <wp:effectExtent l="0" t="0" r="1905" b="889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1"/>
                          <a:stretch>
                            <a:fillRect/>
                          </a:stretch>
                        </pic:blipFill>
                        <pic:spPr>
                          <a:xfrm>
                            <a:off x="0" y="0"/>
                            <a:ext cx="1826895" cy="2518410"/>
                          </a:xfrm>
                          <a:prstGeom prst="rect">
                            <a:avLst/>
                          </a:prstGeom>
                          <a:noFill/>
                          <a:ln>
                            <a:noFill/>
                          </a:ln>
                        </pic:spPr>
                      </pic:pic>
                    </a:graphicData>
                  </a:graphic>
                </wp:anchor>
              </w:drawing>
            </w:r>
          </w:p>
          <w:p>
            <w:pPr>
              <w:pStyle w:val="3"/>
              <w:spacing w:line="360" w:lineRule="auto"/>
              <w:rPr>
                <w:rFonts w:hint="eastAsia" w:ascii="宋体" w:hAnsi="宋体" w:cs="宋体"/>
                <w:color w:val="auto"/>
                <w:kern w:val="0"/>
                <w:sz w:val="21"/>
                <w:szCs w:val="21"/>
                <w:highlight w:val="none"/>
                <w:lang w:val="en-US" w:eastAsia="zh-CN"/>
              </w:rPr>
            </w:pPr>
          </w:p>
          <w:p>
            <w:pPr>
              <w:pStyle w:val="5"/>
              <w:spacing w:line="360" w:lineRule="auto"/>
              <w:rPr>
                <w:rFonts w:hint="eastAsia" w:ascii="宋体" w:hAnsi="宋体" w:cs="宋体"/>
                <w:color w:val="auto"/>
                <w:kern w:val="0"/>
                <w:sz w:val="21"/>
                <w:szCs w:val="21"/>
                <w:highlight w:val="none"/>
                <w:lang w:val="en-US" w:eastAsia="zh-CN"/>
              </w:rPr>
            </w:pPr>
          </w:p>
          <w:p>
            <w:pPr>
              <w:spacing w:line="360" w:lineRule="auto"/>
              <w:rPr>
                <w:rFonts w:hint="eastAsia" w:ascii="宋体" w:hAnsi="宋体" w:cs="宋体"/>
                <w:color w:val="auto"/>
                <w:kern w:val="0"/>
                <w:sz w:val="21"/>
                <w:szCs w:val="21"/>
                <w:highlight w:val="none"/>
                <w:lang w:val="en-US" w:eastAsia="zh-CN"/>
              </w:rPr>
            </w:pPr>
          </w:p>
          <w:p>
            <w:pPr>
              <w:pStyle w:val="2"/>
              <w:spacing w:line="360" w:lineRule="auto"/>
              <w:rPr>
                <w:rFonts w:hint="eastAsia" w:ascii="宋体" w:hAnsi="宋体" w:cs="宋体"/>
                <w:color w:val="auto"/>
                <w:kern w:val="0"/>
                <w:sz w:val="21"/>
                <w:szCs w:val="21"/>
                <w:highlight w:val="none"/>
                <w:lang w:val="en-US" w:eastAsia="zh-CN"/>
              </w:rPr>
            </w:pPr>
          </w:p>
          <w:p>
            <w:pPr>
              <w:pStyle w:val="3"/>
              <w:spacing w:line="360" w:lineRule="auto"/>
              <w:rPr>
                <w:rFonts w:hint="eastAsia" w:ascii="宋体" w:hAnsi="宋体" w:cs="宋体"/>
                <w:color w:val="auto"/>
                <w:kern w:val="0"/>
                <w:sz w:val="21"/>
                <w:szCs w:val="21"/>
                <w:highlight w:val="none"/>
                <w:lang w:val="en-US" w:eastAsia="zh-CN"/>
              </w:rPr>
            </w:pPr>
          </w:p>
          <w:p>
            <w:pPr>
              <w:pStyle w:val="5"/>
              <w:spacing w:line="360" w:lineRule="auto"/>
              <w:rPr>
                <w:rFonts w:hint="eastAsia" w:ascii="宋体" w:hAnsi="宋体" w:cs="宋体"/>
                <w:color w:val="auto"/>
                <w:kern w:val="0"/>
                <w:sz w:val="21"/>
                <w:szCs w:val="21"/>
                <w:highlight w:val="none"/>
                <w:lang w:val="en-US" w:eastAsia="zh-CN"/>
              </w:rPr>
            </w:pPr>
          </w:p>
          <w:p>
            <w:pPr>
              <w:spacing w:line="360" w:lineRule="auto"/>
              <w:rPr>
                <w:rFonts w:hint="eastAsia" w:ascii="宋体" w:hAnsi="宋体" w:cs="宋体"/>
                <w:color w:val="auto"/>
                <w:kern w:val="0"/>
                <w:sz w:val="21"/>
                <w:szCs w:val="21"/>
                <w:highlight w:val="none"/>
                <w:lang w:val="en-US" w:eastAsia="zh-CN"/>
              </w:rPr>
            </w:pPr>
          </w:p>
          <w:p>
            <w:pPr>
              <w:pStyle w:val="2"/>
              <w:spacing w:line="360" w:lineRule="auto"/>
              <w:rPr>
                <w:rFonts w:hint="eastAsia" w:ascii="宋体" w:hAnsi="宋体" w:cs="宋体"/>
                <w:color w:val="auto"/>
                <w:kern w:val="0"/>
                <w:sz w:val="21"/>
                <w:szCs w:val="21"/>
                <w:highlight w:val="none"/>
                <w:lang w:val="en-US" w:eastAsia="zh-CN"/>
              </w:rPr>
            </w:pPr>
          </w:p>
          <w:p>
            <w:pPr>
              <w:pStyle w:val="18"/>
              <w:spacing w:line="360" w:lineRule="auto"/>
              <w:ind w:left="0" w:leftChars="0" w:firstLine="420" w:firstLineChars="200"/>
              <w:rPr>
                <w:rFonts w:hint="eastAsia" w:ascii="宋体" w:hAnsi="宋体" w:cs="Arial"/>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查此成果已于2021年3月2日交付给</w:t>
            </w:r>
            <w:r>
              <w:rPr>
                <w:rFonts w:hint="eastAsia" w:ascii="宋体" w:hAnsi="宋体" w:cs="宋体"/>
                <w:color w:val="auto"/>
                <w:kern w:val="0"/>
                <w:sz w:val="21"/>
                <w:szCs w:val="21"/>
                <w:highlight w:val="none"/>
                <w:lang w:val="en-US" w:eastAsia="zh-CN"/>
              </w:rPr>
              <w:t>甲方</w:t>
            </w:r>
            <w:r>
              <w:rPr>
                <w:rFonts w:hint="eastAsia"/>
                <w:lang w:val="en-US" w:eastAsia="zh-CN"/>
              </w:rPr>
              <w:t>中海油能源发展股份有限公司</w:t>
            </w:r>
            <w:r>
              <w:rPr>
                <w:rFonts w:hint="eastAsia" w:ascii="宋体" w:hAnsi="宋体" w:cs="宋体"/>
                <w:color w:val="auto"/>
                <w:kern w:val="0"/>
                <w:sz w:val="21"/>
                <w:szCs w:val="21"/>
                <w:highlight w:val="none"/>
                <w:lang w:val="en-US" w:eastAsia="zh-CN"/>
              </w:rPr>
              <w:t>，对本次研究成果比较满意</w:t>
            </w:r>
            <w:r>
              <w:rPr>
                <w:rFonts w:hint="eastAsia" w:asciiTheme="minorEastAsia" w:hAnsiTheme="minorEastAsia" w:eastAsiaTheme="minorEastAsia" w:cstheme="minorEastAsia"/>
                <w:b w:val="0"/>
                <w:bCs w:val="0"/>
                <w:color w:val="auto"/>
                <w:sz w:val="21"/>
                <w:szCs w:val="21"/>
                <w:lang w:val="en-US" w:eastAsia="zh-CN"/>
              </w:rPr>
              <w:t>。</w:t>
            </w:r>
            <w:r>
              <w:rPr>
                <w:rFonts w:hint="eastAsia" w:asciiTheme="minorEastAsia" w:hAnsiTheme="minorEastAsia" w:eastAsiaTheme="minorEastAsia" w:cstheme="minorEastAsia"/>
                <w:color w:val="auto"/>
                <w:sz w:val="21"/>
                <w:szCs w:val="21"/>
                <w:lang w:val="en-US" w:eastAsia="zh-CN"/>
              </w:rPr>
              <w:t xml:space="preserve">  </w:t>
            </w:r>
          </w:p>
        </w:tc>
        <w:tc>
          <w:tcPr>
            <w:tcW w:w="732" w:type="dxa"/>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2173" w:type="dxa"/>
            <w:vAlign w:val="center"/>
          </w:tcPr>
          <w:p>
            <w:pPr>
              <w:spacing w:line="360" w:lineRule="auto"/>
              <w:jc w:val="both"/>
              <w:rPr>
                <w:rFonts w:hint="eastAsia" w:ascii="宋体" w:hAnsi="宋体" w:cs="宋体"/>
                <w:sz w:val="21"/>
                <w:szCs w:val="21"/>
                <w:lang w:val="en-US" w:eastAsia="zh-CN"/>
              </w:rPr>
            </w:pPr>
            <w:r>
              <w:rPr>
                <w:rFonts w:hint="eastAsia" w:ascii="宋体" w:hAnsi="宋体" w:cs="宋体"/>
                <w:sz w:val="21"/>
                <w:szCs w:val="21"/>
                <w:lang w:val="en-US" w:eastAsia="zh-CN"/>
              </w:rPr>
              <w:t>标识和可追溯性</w:t>
            </w:r>
          </w:p>
        </w:tc>
        <w:tc>
          <w:tcPr>
            <w:tcW w:w="965" w:type="dxa"/>
            <w:vAlign w:val="center"/>
          </w:tcPr>
          <w:p>
            <w:pPr>
              <w:spacing w:line="360" w:lineRule="auto"/>
              <w:jc w:val="both"/>
              <w:rPr>
                <w:rFonts w:hint="eastAsia" w:ascii="宋体" w:hAnsi="宋体" w:cs="宋体"/>
                <w:sz w:val="21"/>
                <w:szCs w:val="21"/>
                <w:lang w:val="en-US" w:eastAsia="zh-CN"/>
              </w:rPr>
            </w:pPr>
            <w:r>
              <w:rPr>
                <w:rFonts w:hint="eastAsia" w:ascii="宋体" w:hAnsi="宋体" w:cs="宋体"/>
                <w:sz w:val="21"/>
                <w:szCs w:val="21"/>
                <w:lang w:val="en-US" w:eastAsia="zh-CN"/>
              </w:rPr>
              <w:t>Q8.5.2</w:t>
            </w:r>
          </w:p>
        </w:tc>
        <w:tc>
          <w:tcPr>
            <w:tcW w:w="10927" w:type="dxa"/>
            <w:vAlign w:val="center"/>
          </w:tcPr>
          <w:p>
            <w:pPr>
              <w:pStyle w:val="28"/>
              <w:spacing w:line="360" w:lineRule="auto"/>
              <w:jc w:val="both"/>
              <w:rPr>
                <w:rFonts w:hint="eastAsia" w:ascii="宋体" w:hAnsi="宋体" w:eastAsia="宋体" w:cs="宋体"/>
                <w:sz w:val="21"/>
                <w:szCs w:val="21"/>
              </w:rPr>
            </w:pPr>
            <w:r>
              <w:rPr>
                <w:rFonts w:hint="eastAsia" w:ascii="宋体" w:hAnsi="宋体" w:eastAsia="宋体" w:cs="宋体"/>
                <w:sz w:val="21"/>
                <w:szCs w:val="21"/>
              </w:rPr>
              <w:t>制定了《样品管理程序》样品的运输、接收、发放、标识、流转、保护、存储、保留及处理，以充分保护样品的完整性，保护委托双方的利益。</w:t>
            </w:r>
          </w:p>
          <w:p>
            <w:pPr>
              <w:spacing w:line="400" w:lineRule="exact"/>
              <w:ind w:firstLine="420" w:firstLineChars="200"/>
              <w:jc w:val="left"/>
              <w:rPr>
                <w:rFonts w:ascii="宋体" w:hAnsi="宋体"/>
                <w:szCs w:val="21"/>
              </w:rPr>
            </w:pPr>
            <w:r>
              <w:rPr>
                <w:rFonts w:hint="eastAsia" w:ascii="宋体" w:hAnsi="宋体"/>
                <w:szCs w:val="21"/>
              </w:rPr>
              <w:t>1．在生产现场，车间的来料</w:t>
            </w:r>
            <w:r>
              <w:rPr>
                <w:rFonts w:hint="eastAsia" w:ascii="宋体" w:hAnsi="宋体"/>
                <w:szCs w:val="21"/>
                <w:lang w:val="en-US" w:eastAsia="zh-CN"/>
              </w:rPr>
              <w:t>原件</w:t>
            </w:r>
            <w:r>
              <w:rPr>
                <w:rFonts w:hint="eastAsia" w:ascii="宋体" w:hAnsi="宋体"/>
                <w:szCs w:val="21"/>
              </w:rPr>
              <w:t>采用打印标识，标识：产品代号等；</w:t>
            </w:r>
          </w:p>
          <w:p>
            <w:pPr>
              <w:spacing w:line="360" w:lineRule="auto"/>
              <w:ind w:firstLine="420" w:firstLineChars="200"/>
              <w:rPr>
                <w:rFonts w:hint="eastAsia" w:ascii="宋体" w:hAnsi="宋体" w:eastAsia="宋体" w:cs="宋体"/>
                <w:sz w:val="21"/>
                <w:szCs w:val="21"/>
              </w:rPr>
            </w:pPr>
            <w:r>
              <w:rPr>
                <w:rFonts w:hint="eastAsia" w:ascii="宋体" w:hAnsi="宋体"/>
                <w:szCs w:val="21"/>
              </w:rPr>
              <w:t>2．成品通过产品检验记录进行追溯，主要记录内容：检验日期，产品型号、品名、数量等；</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检测配件</w:t>
            </w:r>
            <w:r>
              <w:rPr>
                <w:rFonts w:hint="eastAsia" w:ascii="宋体" w:hAnsi="宋体" w:eastAsia="宋体" w:cs="宋体"/>
                <w:sz w:val="21"/>
                <w:szCs w:val="21"/>
              </w:rPr>
              <w:t>分类分区放置在指定仓库、产品标识方法得当、未发现不同类型和状态产品发生混淆现象。标识和可追溯性基本符合标准要求</w:t>
            </w:r>
            <w:r>
              <w:rPr>
                <w:rFonts w:hint="eastAsia"/>
              </w:rPr>
              <w:t>。</w:t>
            </w:r>
          </w:p>
        </w:tc>
        <w:tc>
          <w:tcPr>
            <w:tcW w:w="732" w:type="dxa"/>
          </w:tcPr>
          <w:p>
            <w:pPr>
              <w:spacing w:line="320" w:lineRule="exact"/>
              <w:rPr>
                <w:rFonts w:hint="default"/>
                <w:lang w:val="en-US" w:eastAsia="zh-CN"/>
              </w:rPr>
            </w:pPr>
            <w:r>
              <w:rPr>
                <w:rFonts w:hint="eastAsia"/>
                <w:lang w:val="en-US" w:eastAsia="zh-CN"/>
              </w:rPr>
              <w:t>OK</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3" w:type="dxa"/>
            <w:vAlign w:val="center"/>
          </w:tcPr>
          <w:p>
            <w:pPr>
              <w:spacing w:line="360" w:lineRule="auto"/>
              <w:jc w:val="both"/>
              <w:rPr>
                <w:rFonts w:hint="eastAsia" w:ascii="宋体" w:hAnsi="宋体" w:cs="宋体"/>
                <w:sz w:val="21"/>
                <w:szCs w:val="21"/>
                <w:lang w:val="en-US" w:eastAsia="zh-CN"/>
              </w:rPr>
            </w:pPr>
            <w:r>
              <w:rPr>
                <w:rFonts w:hint="eastAsia" w:ascii="宋体" w:hAnsi="宋体" w:cs="宋体"/>
                <w:sz w:val="21"/>
                <w:szCs w:val="21"/>
                <w:lang w:val="en-US" w:eastAsia="zh-CN"/>
              </w:rPr>
              <w:t>顾客或外部供方财产</w:t>
            </w:r>
          </w:p>
        </w:tc>
        <w:tc>
          <w:tcPr>
            <w:tcW w:w="965" w:type="dxa"/>
            <w:vAlign w:val="center"/>
          </w:tcPr>
          <w:p>
            <w:pPr>
              <w:spacing w:line="360" w:lineRule="auto"/>
              <w:jc w:val="both"/>
              <w:rPr>
                <w:rFonts w:hint="eastAsia" w:ascii="宋体" w:hAnsi="宋体" w:cs="宋体"/>
                <w:sz w:val="21"/>
                <w:szCs w:val="21"/>
                <w:lang w:val="en-US" w:eastAsia="zh-CN"/>
              </w:rPr>
            </w:pPr>
            <w:r>
              <w:rPr>
                <w:rFonts w:hint="eastAsia" w:ascii="宋体" w:hAnsi="宋体" w:cs="宋体"/>
                <w:sz w:val="21"/>
                <w:szCs w:val="21"/>
                <w:lang w:val="en-US" w:eastAsia="zh-CN"/>
              </w:rPr>
              <w:t>Q8.5.3</w:t>
            </w:r>
          </w:p>
        </w:tc>
        <w:tc>
          <w:tcPr>
            <w:tcW w:w="10927" w:type="dxa"/>
            <w:vAlign w:val="center"/>
          </w:tcPr>
          <w:p>
            <w:pPr>
              <w:spacing w:line="360" w:lineRule="auto"/>
              <w:ind w:firstLine="420" w:firstLineChars="200"/>
              <w:jc w:val="both"/>
              <w:rPr>
                <w:rFonts w:hint="eastAsia"/>
                <w:lang w:val="en-US" w:eastAsia="zh-CN"/>
              </w:rPr>
            </w:pPr>
            <w:r>
              <w:rPr>
                <w:rFonts w:hint="eastAsia"/>
                <w:lang w:eastAsia="zh-TW"/>
              </w:rPr>
              <w:t>该公司顾客或外部财产主要为顾客的技术要求、商业信息和订单合同，现场未发现有其他顾客财产的涉及。客户财产由</w:t>
            </w:r>
            <w:r>
              <w:rPr>
                <w:rFonts w:hint="eastAsia"/>
                <w:lang w:val="en-US" w:eastAsia="zh-CN"/>
              </w:rPr>
              <w:t>生产技术部</w:t>
            </w:r>
            <w:r>
              <w:rPr>
                <w:rFonts w:hint="eastAsia"/>
                <w:lang w:eastAsia="zh-TW"/>
              </w:rPr>
              <w:t>负责管理，经查未发生客户财产丢失或损坏以及顾客的保密信息外泄的情况。</w:t>
            </w:r>
          </w:p>
        </w:tc>
        <w:tc>
          <w:tcPr>
            <w:tcW w:w="732" w:type="dxa"/>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2173" w:type="dxa"/>
            <w:vAlign w:val="center"/>
          </w:tcPr>
          <w:p>
            <w:pPr>
              <w:spacing w:line="360" w:lineRule="auto"/>
              <w:jc w:val="both"/>
              <w:rPr>
                <w:rFonts w:hint="eastAsia" w:ascii="宋体" w:hAnsi="宋体" w:cs="宋体"/>
                <w:sz w:val="21"/>
                <w:szCs w:val="21"/>
                <w:lang w:val="en-US" w:eastAsia="zh-CN"/>
              </w:rPr>
            </w:pPr>
            <w:r>
              <w:rPr>
                <w:rFonts w:hint="eastAsia" w:ascii="宋体" w:hAnsi="宋体" w:cs="宋体"/>
                <w:sz w:val="21"/>
                <w:szCs w:val="21"/>
                <w:lang w:val="en-US" w:eastAsia="zh-CN"/>
              </w:rPr>
              <w:t>防护</w:t>
            </w:r>
          </w:p>
        </w:tc>
        <w:tc>
          <w:tcPr>
            <w:tcW w:w="965" w:type="dxa"/>
            <w:vAlign w:val="center"/>
          </w:tcPr>
          <w:p>
            <w:pPr>
              <w:spacing w:line="360" w:lineRule="auto"/>
              <w:jc w:val="both"/>
              <w:rPr>
                <w:rFonts w:hint="eastAsia" w:ascii="宋体" w:hAnsi="宋体" w:cs="宋体"/>
                <w:sz w:val="21"/>
                <w:szCs w:val="21"/>
                <w:lang w:val="en-US" w:eastAsia="zh-CN"/>
              </w:rPr>
            </w:pPr>
            <w:r>
              <w:rPr>
                <w:rFonts w:hint="eastAsia" w:ascii="宋体" w:hAnsi="宋体" w:cs="宋体"/>
                <w:sz w:val="21"/>
                <w:szCs w:val="21"/>
                <w:lang w:val="en-US" w:eastAsia="zh-CN"/>
              </w:rPr>
              <w:t>Q8.5.4</w:t>
            </w:r>
          </w:p>
        </w:tc>
        <w:tc>
          <w:tcPr>
            <w:tcW w:w="10927" w:type="dxa"/>
            <w:vAlign w:val="center"/>
          </w:tcPr>
          <w:p>
            <w:pPr>
              <w:spacing w:line="360" w:lineRule="auto"/>
              <w:ind w:firstLine="420" w:firstLineChars="200"/>
              <w:jc w:val="both"/>
              <w:rPr>
                <w:rFonts w:hint="eastAsia" w:ascii="宋体" w:hAnsi="宋体" w:eastAsia="宋体" w:cs="宋体"/>
                <w:sz w:val="21"/>
                <w:szCs w:val="21"/>
                <w:lang w:eastAsia="zh-TW"/>
              </w:rPr>
            </w:pPr>
            <w:r>
              <w:rPr>
                <w:rFonts w:hint="eastAsia" w:ascii="宋体" w:hAnsi="宋体" w:cs="宋体"/>
                <w:sz w:val="21"/>
                <w:szCs w:val="21"/>
                <w:lang w:val="en-US" w:eastAsia="zh-CN"/>
              </w:rPr>
              <w:t>生产生产技术部</w:t>
            </w:r>
            <w:r>
              <w:rPr>
                <w:rFonts w:hint="eastAsia" w:ascii="宋体" w:hAnsi="宋体" w:eastAsia="宋体" w:cs="宋体"/>
                <w:sz w:val="21"/>
                <w:szCs w:val="21"/>
                <w:lang w:eastAsia="zh-TW"/>
              </w:rPr>
              <w:t>负责档案文件、</w:t>
            </w:r>
            <w:r>
              <w:rPr>
                <w:rFonts w:hint="eastAsia" w:ascii="宋体" w:hAnsi="宋体" w:eastAsia="宋体" w:cs="宋体"/>
                <w:sz w:val="21"/>
                <w:szCs w:val="21"/>
                <w:lang w:val="en-US" w:eastAsia="zh-CN"/>
              </w:rPr>
              <w:t>计量器具</w:t>
            </w:r>
            <w:r>
              <w:rPr>
                <w:rFonts w:hint="eastAsia" w:ascii="宋体" w:hAnsi="宋体" w:eastAsia="宋体" w:cs="宋体"/>
                <w:sz w:val="21"/>
                <w:szCs w:val="21"/>
                <w:lang w:eastAsia="zh-TW"/>
              </w:rPr>
              <w:t>的防护，包括标识、搬运、包装、贮存和保护。</w:t>
            </w:r>
          </w:p>
          <w:p>
            <w:pPr>
              <w:spacing w:line="360" w:lineRule="auto"/>
              <w:ind w:firstLine="420" w:firstLineChars="200"/>
              <w:jc w:val="both"/>
              <w:rPr>
                <w:rFonts w:hint="eastAsia" w:ascii="宋体" w:hAnsi="宋体" w:eastAsia="宋体" w:cs="宋体"/>
                <w:sz w:val="21"/>
                <w:szCs w:val="21"/>
                <w:lang w:eastAsia="zh-TW"/>
              </w:rPr>
            </w:pPr>
            <w:r>
              <w:rPr>
                <w:rFonts w:hint="eastAsia" w:ascii="宋体" w:hAnsi="宋体" w:eastAsia="宋体" w:cs="宋体"/>
                <w:sz w:val="21"/>
                <w:szCs w:val="21"/>
                <w:lang w:val="en-US" w:eastAsia="zh-CN"/>
              </w:rPr>
              <w:t>检测</w:t>
            </w:r>
            <w:r>
              <w:rPr>
                <w:rFonts w:hint="eastAsia" w:ascii="宋体" w:hAnsi="宋体" w:eastAsia="宋体" w:cs="宋体"/>
                <w:sz w:val="21"/>
                <w:szCs w:val="21"/>
                <w:lang w:eastAsia="zh-TW"/>
              </w:rPr>
              <w:t>的文件</w:t>
            </w:r>
            <w:r>
              <w:rPr>
                <w:rFonts w:hint="eastAsia" w:ascii="宋体" w:hAnsi="宋体" w:eastAsia="宋体" w:cs="宋体"/>
                <w:sz w:val="21"/>
                <w:szCs w:val="21"/>
                <w:lang w:eastAsia="zh-CN"/>
              </w:rPr>
              <w:t>、</w:t>
            </w:r>
            <w:r>
              <w:rPr>
                <w:rFonts w:hint="eastAsia" w:ascii="宋体" w:hAnsi="宋体" w:eastAsia="宋体" w:cs="宋体"/>
                <w:sz w:val="21"/>
                <w:szCs w:val="21"/>
                <w:lang w:eastAsia="zh-TW"/>
              </w:rPr>
              <w:t>在内部交接和交付顾客期间，包括存档期内，都符合相关防护要求。</w:t>
            </w:r>
          </w:p>
          <w:p>
            <w:pPr>
              <w:spacing w:line="360" w:lineRule="auto"/>
              <w:ind w:left="420" w:leftChars="200" w:firstLine="0" w:firstLineChars="0"/>
              <w:jc w:val="both"/>
              <w:rPr>
                <w:rFonts w:hint="eastAsia" w:ascii="宋体" w:hAnsi="宋体" w:eastAsia="宋体" w:cs="宋体"/>
                <w:sz w:val="21"/>
                <w:szCs w:val="21"/>
                <w:lang w:eastAsia="zh-TW"/>
              </w:rPr>
            </w:pPr>
            <w:r>
              <w:rPr>
                <w:rFonts w:hint="eastAsia" w:ascii="宋体" w:hAnsi="宋体" w:eastAsia="宋体" w:cs="宋体"/>
                <w:sz w:val="21"/>
                <w:szCs w:val="21"/>
                <w:lang w:eastAsia="zh-TW"/>
              </w:rPr>
              <w:t>现场检查：档案橱内文件分类存放，有专用文件夹，标明了文件档案的名称。档案橱上锁保密，电脑设置了密码</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检测</w:t>
            </w:r>
            <w:r>
              <w:rPr>
                <w:rFonts w:hint="eastAsia" w:ascii="宋体" w:hAnsi="宋体" w:eastAsia="宋体" w:cs="宋体"/>
                <w:sz w:val="21"/>
                <w:szCs w:val="21"/>
                <w:lang w:eastAsia="zh-TW"/>
              </w:rPr>
              <w:t>过程中有采取相应的措施进行防护，以确保符合要求。防护包括标识、处置、污染控制、包装、储存、运输以及保护等。</w:t>
            </w:r>
          </w:p>
          <w:p>
            <w:pPr>
              <w:spacing w:line="360" w:lineRule="auto"/>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eastAsia="zh-TW"/>
              </w:rPr>
              <w:t>产品防护的管理符合标准要求。</w:t>
            </w:r>
          </w:p>
        </w:tc>
        <w:tc>
          <w:tcPr>
            <w:tcW w:w="732" w:type="dxa"/>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2173" w:type="dxa"/>
            <w:vAlign w:val="center"/>
          </w:tcPr>
          <w:p>
            <w:pPr>
              <w:spacing w:line="360" w:lineRule="auto"/>
              <w:jc w:val="both"/>
              <w:rPr>
                <w:rFonts w:hint="eastAsia" w:ascii="宋体" w:hAnsi="宋体" w:cs="宋体"/>
                <w:sz w:val="21"/>
                <w:szCs w:val="21"/>
                <w:lang w:val="en-US" w:eastAsia="zh-CN"/>
              </w:rPr>
            </w:pPr>
            <w:r>
              <w:rPr>
                <w:rFonts w:hint="eastAsia" w:ascii="宋体" w:hAnsi="宋体" w:cs="宋体"/>
                <w:sz w:val="21"/>
                <w:szCs w:val="21"/>
                <w:lang w:val="en-US" w:eastAsia="zh-CN"/>
              </w:rPr>
              <w:t>交付后的活动</w:t>
            </w:r>
          </w:p>
        </w:tc>
        <w:tc>
          <w:tcPr>
            <w:tcW w:w="965" w:type="dxa"/>
            <w:vAlign w:val="top"/>
          </w:tcPr>
          <w:p>
            <w:pPr>
              <w:spacing w:line="360" w:lineRule="auto"/>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Q8.5.5 </w:t>
            </w:r>
          </w:p>
        </w:tc>
        <w:tc>
          <w:tcPr>
            <w:tcW w:w="10927" w:type="dxa"/>
            <w:vAlign w:val="center"/>
          </w:tcPr>
          <w:p>
            <w:pPr>
              <w:spacing w:line="360" w:lineRule="auto"/>
              <w:ind w:firstLine="420" w:firstLineChars="20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   与客户业务负责人进行沟通：组织通过与客户签订合同的形式对交付后的活动进行规定；内容包括了：法律法规要求，交付后不合格的处理，产品的用途，顾客的要求等；</w:t>
            </w:r>
          </w:p>
          <w:p>
            <w:pPr>
              <w:spacing w:line="360" w:lineRule="auto"/>
              <w:ind w:firstLine="420" w:firstLineChars="20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    暂无交付后违反法律法规要求、违法合同要求、严重客户投诉的情况，据负责人介绍如以后有会收到客户投诉通过邮件或者会议将信息传递给相关过程/部门。</w:t>
            </w:r>
          </w:p>
          <w:p>
            <w:pPr>
              <w:spacing w:line="360" w:lineRule="auto"/>
              <w:ind w:firstLine="420" w:firstLineChars="200"/>
              <w:jc w:val="both"/>
              <w:rPr>
                <w:rFonts w:hint="eastAsia" w:ascii="宋体" w:hAnsi="宋体" w:cs="宋体"/>
                <w:sz w:val="21"/>
                <w:szCs w:val="21"/>
                <w:lang w:val="en-US" w:eastAsia="zh-CN"/>
              </w:rPr>
            </w:pPr>
            <w:r>
              <w:rPr>
                <w:rFonts w:hint="eastAsia" w:ascii="宋体" w:hAnsi="宋体" w:cs="宋体"/>
                <w:sz w:val="21"/>
                <w:szCs w:val="21"/>
                <w:lang w:val="en-US" w:eastAsia="zh-TW"/>
              </w:rPr>
              <w:t xml:space="preserve">   基本满足要求。</w:t>
            </w:r>
          </w:p>
        </w:tc>
        <w:tc>
          <w:tcPr>
            <w:tcW w:w="732" w:type="dxa"/>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3" w:type="dxa"/>
            <w:vAlign w:val="center"/>
          </w:tcPr>
          <w:p>
            <w:pPr>
              <w:spacing w:line="360" w:lineRule="auto"/>
              <w:ind w:firstLine="420" w:firstLineChars="200"/>
              <w:jc w:val="both"/>
              <w:rPr>
                <w:rFonts w:hint="eastAsia" w:ascii="宋体" w:hAnsi="宋体" w:cs="宋体"/>
                <w:sz w:val="21"/>
                <w:szCs w:val="21"/>
                <w:lang w:val="en-US" w:eastAsia="zh-CN"/>
              </w:rPr>
            </w:pPr>
            <w:r>
              <w:rPr>
                <w:rFonts w:hint="eastAsia" w:ascii="宋体" w:hAnsi="宋体" w:cs="宋体"/>
                <w:sz w:val="21"/>
                <w:szCs w:val="21"/>
                <w:lang w:val="en-US" w:eastAsia="zh-CN"/>
              </w:rPr>
              <w:t>变更控制</w:t>
            </w:r>
          </w:p>
        </w:tc>
        <w:tc>
          <w:tcPr>
            <w:tcW w:w="965" w:type="dxa"/>
            <w:vAlign w:val="center"/>
          </w:tcPr>
          <w:p>
            <w:pPr>
              <w:spacing w:line="360" w:lineRule="auto"/>
              <w:ind w:firstLine="420" w:firstLineChars="200"/>
              <w:jc w:val="both"/>
              <w:rPr>
                <w:rFonts w:hint="eastAsia" w:ascii="宋体" w:hAnsi="宋体" w:cs="宋体"/>
                <w:sz w:val="21"/>
                <w:szCs w:val="21"/>
                <w:lang w:val="en-US" w:eastAsia="zh-CN"/>
              </w:rPr>
            </w:pPr>
            <w:r>
              <w:rPr>
                <w:rFonts w:hint="eastAsia" w:ascii="宋体" w:hAnsi="宋体" w:cs="宋体"/>
                <w:sz w:val="21"/>
                <w:szCs w:val="21"/>
                <w:lang w:val="en-US" w:eastAsia="zh-CN"/>
              </w:rPr>
              <w:t>Q8.5.6</w:t>
            </w:r>
          </w:p>
        </w:tc>
        <w:tc>
          <w:tcPr>
            <w:tcW w:w="10927" w:type="dxa"/>
            <w:vAlign w:val="center"/>
          </w:tcPr>
          <w:p>
            <w:pPr>
              <w:spacing w:line="360" w:lineRule="auto"/>
              <w:ind w:firstLine="420" w:firstLineChars="200"/>
              <w:jc w:val="both"/>
              <w:rPr>
                <w:rFonts w:hint="default" w:ascii="宋体" w:hAnsi="宋体" w:cs="宋体"/>
                <w:sz w:val="21"/>
                <w:szCs w:val="21"/>
                <w:lang w:val="en-US" w:eastAsia="zh-CN"/>
              </w:rPr>
            </w:pPr>
            <w:r>
              <w:rPr>
                <w:rFonts w:hint="eastAsia" w:ascii="宋体" w:hAnsi="宋体" w:cs="宋体"/>
                <w:sz w:val="21"/>
                <w:szCs w:val="21"/>
                <w:lang w:val="en-US" w:eastAsia="zh-TW"/>
              </w:rPr>
              <w:t>据</w:t>
            </w:r>
            <w:r>
              <w:rPr>
                <w:rFonts w:hint="eastAsia" w:ascii="宋体" w:hAnsi="宋体" w:cs="宋体"/>
                <w:sz w:val="21"/>
                <w:szCs w:val="21"/>
                <w:lang w:val="en-US" w:eastAsia="zh-CN"/>
              </w:rPr>
              <w:t>生产生产技术部</w:t>
            </w:r>
            <w:r>
              <w:rPr>
                <w:rFonts w:hint="eastAsia" w:ascii="宋体" w:hAnsi="宋体" w:cs="宋体"/>
                <w:sz w:val="21"/>
                <w:szCs w:val="21"/>
                <w:lang w:val="en-US" w:eastAsia="zh-TW"/>
              </w:rPr>
              <w:t>负责人介绍目前顾客、供方比较稳定，有关的法律法规没有发生变化，公司的设备、设施、人员、</w:t>
            </w:r>
            <w:r>
              <w:rPr>
                <w:rFonts w:hint="eastAsia" w:ascii="宋体" w:hAnsi="宋体" w:cs="宋体"/>
                <w:sz w:val="21"/>
                <w:szCs w:val="21"/>
                <w:lang w:val="en-US" w:eastAsia="zh-CN"/>
              </w:rPr>
              <w:t>检测规程</w:t>
            </w:r>
            <w:r>
              <w:rPr>
                <w:rFonts w:hint="eastAsia" w:ascii="宋体" w:hAnsi="宋体" w:cs="宋体"/>
                <w:sz w:val="21"/>
                <w:szCs w:val="21"/>
                <w:lang w:val="en-US" w:eastAsia="zh-TW"/>
              </w:rPr>
              <w:t>都比较固定，</w:t>
            </w:r>
            <w:r>
              <w:rPr>
                <w:rFonts w:hint="eastAsia" w:ascii="宋体" w:hAnsi="宋体" w:cs="宋体"/>
                <w:sz w:val="21"/>
                <w:szCs w:val="21"/>
                <w:lang w:val="en-US" w:eastAsia="zh-CN"/>
              </w:rPr>
              <w:t>暂无变更。</w:t>
            </w:r>
          </w:p>
        </w:tc>
        <w:tc>
          <w:tcPr>
            <w:tcW w:w="732" w:type="dxa"/>
          </w:tcPr>
          <w:p>
            <w:pPr>
              <w:spacing w:line="320" w:lineRule="exact"/>
              <w:rPr>
                <w:rFonts w:hint="default"/>
                <w:lang w:val="en-US" w:eastAsia="zh-CN"/>
              </w:rPr>
            </w:pPr>
            <w:r>
              <w:rPr>
                <w:rFonts w:hint="eastAsia"/>
                <w:lang w:val="en-US" w:eastAsia="zh-CN"/>
              </w:rPr>
              <w:t>OK</w:t>
            </w: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3" w:type="dxa"/>
            <w:vAlign w:val="top"/>
          </w:tcPr>
          <w:p>
            <w:pPr>
              <w:spacing w:line="360" w:lineRule="auto"/>
              <w:rPr>
                <w:rFonts w:hint="eastAsia" w:ascii="楷体" w:hAnsi="楷体" w:eastAsia="楷体"/>
                <w:sz w:val="24"/>
                <w:szCs w:val="24"/>
              </w:rPr>
            </w:pPr>
            <w:r>
              <w:rPr>
                <w:rFonts w:hint="eastAsia" w:ascii="宋体" w:hAnsi="宋体" w:cs="新宋体"/>
                <w:color w:val="auto"/>
                <w:szCs w:val="21"/>
              </w:rPr>
              <w:t>产品和服务放行；</w:t>
            </w:r>
          </w:p>
        </w:tc>
        <w:tc>
          <w:tcPr>
            <w:tcW w:w="965" w:type="dxa"/>
            <w:vAlign w:val="top"/>
          </w:tcPr>
          <w:p>
            <w:pPr>
              <w:rPr>
                <w:rFonts w:ascii="楷体" w:hAnsi="楷体" w:eastAsia="楷体"/>
                <w:sz w:val="24"/>
                <w:szCs w:val="24"/>
              </w:rPr>
            </w:pPr>
            <w:r>
              <w:rPr>
                <w:rFonts w:hint="eastAsia" w:ascii="宋体" w:hAnsi="宋体" w:cs="宋体"/>
                <w:color w:val="auto"/>
                <w:szCs w:val="21"/>
              </w:rPr>
              <w:t>8.6</w:t>
            </w:r>
          </w:p>
        </w:tc>
        <w:tc>
          <w:tcPr>
            <w:tcW w:w="10927" w:type="dxa"/>
            <w:vAlign w:val="top"/>
          </w:tcPr>
          <w:p>
            <w:pPr>
              <w:spacing w:line="360" w:lineRule="auto"/>
              <w:ind w:firstLine="420" w:firstLineChars="200"/>
              <w:rPr>
                <w:rFonts w:ascii="宋体" w:hAnsi="宋体" w:cs="宋体"/>
                <w:color w:val="auto"/>
                <w:szCs w:val="24"/>
              </w:rPr>
            </w:pPr>
            <w:r>
              <w:rPr>
                <w:rFonts w:hint="eastAsia" w:ascii="宋体" w:hAnsi="宋体" w:cs="宋体"/>
                <w:color w:val="auto"/>
                <w:szCs w:val="24"/>
              </w:rPr>
              <w:t>◆公司为验证产品和服务的要求是否得到满足对需实施监视和检验的阶段、过程、项目及记录等予以规定，查见公司检验规范规定了原材料、生产过程、成品出厂所有产品的检验方法、标准。</w:t>
            </w:r>
          </w:p>
          <w:p>
            <w:pPr>
              <w:spacing w:line="360" w:lineRule="auto"/>
              <w:ind w:firstLine="420" w:firstLineChars="200"/>
              <w:rPr>
                <w:rFonts w:ascii="宋体" w:hAnsi="宋体" w:cs="宋体"/>
                <w:color w:val="auto"/>
                <w:szCs w:val="24"/>
              </w:rPr>
            </w:pPr>
            <w:r>
              <w:rPr>
                <w:rFonts w:hint="eastAsia" w:ascii="宋体" w:hAnsi="宋体" w:cs="宋体"/>
                <w:color w:val="auto"/>
                <w:szCs w:val="24"/>
              </w:rPr>
              <w:t>◆公司对特殊放行或紧急放行情况予以界定，原则上，一般情况下不许特殊放行或紧急放行；若特殊情况下，要实施紧急放行时，一定要得到技术质量部经理的许可、总经理批准，适用时得到顾客的批准后方可实施。体系运行至今尚未发生特殊放行或紧急放行的情况。</w:t>
            </w:r>
          </w:p>
          <w:p>
            <w:pPr>
              <w:spacing w:line="360" w:lineRule="auto"/>
              <w:ind w:firstLine="420" w:firstLineChars="200"/>
              <w:rPr>
                <w:rFonts w:ascii="宋体" w:hAnsi="宋体" w:cs="宋体"/>
                <w:color w:val="auto"/>
                <w:szCs w:val="24"/>
              </w:rPr>
            </w:pPr>
            <w:r>
              <w:rPr>
                <w:rFonts w:hint="eastAsia" w:ascii="宋体" w:hAnsi="宋体" w:cs="宋体"/>
                <w:color w:val="auto"/>
                <w:szCs w:val="24"/>
              </w:rPr>
              <w:t>◆公司明确对各阶段产品和服务的放行均须实施必要的记录并保留。详见如下输入、过程及输出检验证据抽样。</w:t>
            </w:r>
          </w:p>
          <w:p>
            <w:pPr>
              <w:spacing w:line="360" w:lineRule="auto"/>
              <w:ind w:firstLine="420" w:firstLineChars="200"/>
              <w:rPr>
                <w:rFonts w:ascii="宋体" w:hAnsi="宋体" w:cs="宋体"/>
                <w:color w:val="auto"/>
                <w:szCs w:val="24"/>
              </w:rPr>
            </w:pPr>
            <w:r>
              <w:rPr>
                <w:rFonts w:hint="eastAsia" w:ascii="宋体" w:hAnsi="宋体" w:cs="宋体"/>
                <w:color w:val="auto"/>
                <w:szCs w:val="24"/>
              </w:rPr>
              <w:t>一、进货检验</w:t>
            </w:r>
          </w:p>
          <w:p>
            <w:pPr>
              <w:spacing w:line="360" w:lineRule="auto"/>
              <w:ind w:firstLine="420" w:firstLineChars="200"/>
              <w:rPr>
                <w:rFonts w:ascii="宋体" w:hAnsi="宋体" w:cs="宋体"/>
                <w:color w:val="auto"/>
                <w:szCs w:val="24"/>
              </w:rPr>
            </w:pPr>
            <w:r>
              <w:rPr>
                <w:rFonts w:hint="eastAsia" w:ascii="宋体" w:hAnsi="宋体" w:cs="宋体"/>
                <w:color w:val="auto"/>
                <w:szCs w:val="24"/>
              </w:rPr>
              <w:t>查见：生产材料来料检验。负责人讲，生产所涉及的</w:t>
            </w:r>
            <w:r>
              <w:rPr>
                <w:rFonts w:hint="eastAsia" w:ascii="宋体" w:hAnsi="宋体" w:cs="宋体"/>
                <w:color w:val="auto"/>
                <w:szCs w:val="24"/>
                <w:lang w:val="en-US" w:eastAsia="zh-CN"/>
              </w:rPr>
              <w:t>外部加工件和标准件的采购</w:t>
            </w:r>
            <w:r>
              <w:rPr>
                <w:rFonts w:hint="eastAsia" w:ascii="宋体" w:hAnsi="宋体" w:cs="宋体"/>
                <w:color w:val="auto"/>
                <w:szCs w:val="24"/>
              </w:rPr>
              <w:t>，只对其数量、外观、规格</w:t>
            </w:r>
            <w:r>
              <w:rPr>
                <w:rFonts w:hint="eastAsia" w:ascii="宋体" w:hAnsi="宋体" w:cs="宋体"/>
                <w:color w:val="auto"/>
                <w:szCs w:val="24"/>
                <w:lang w:eastAsia="zh-CN"/>
              </w:rPr>
              <w:t>、</w:t>
            </w:r>
            <w:r>
              <w:rPr>
                <w:rFonts w:hint="eastAsia" w:ascii="宋体" w:hAnsi="宋体" w:cs="宋体"/>
                <w:color w:val="auto"/>
                <w:szCs w:val="24"/>
                <w:lang w:val="en-US" w:eastAsia="zh-CN"/>
              </w:rPr>
              <w:t>材质</w:t>
            </w:r>
            <w:r>
              <w:rPr>
                <w:rFonts w:hint="eastAsia" w:ascii="宋体" w:hAnsi="宋体" w:cs="宋体"/>
                <w:color w:val="auto"/>
                <w:szCs w:val="24"/>
              </w:rPr>
              <w:t>等进行检验。</w:t>
            </w:r>
          </w:p>
          <w:p>
            <w:pPr>
              <w:spacing w:line="360" w:lineRule="auto"/>
              <w:ind w:firstLine="420" w:firstLineChars="200"/>
              <w:rPr>
                <w:rFonts w:ascii="宋体" w:hAnsi="宋体" w:cs="宋体"/>
                <w:color w:val="auto"/>
                <w:szCs w:val="24"/>
              </w:rPr>
            </w:pPr>
            <w:r>
              <w:rPr>
                <w:rFonts w:hint="eastAsia" w:ascii="宋体" w:hAnsi="宋体" w:cs="宋体"/>
                <w:color w:val="auto"/>
                <w:szCs w:val="24"/>
              </w:rPr>
              <w:t>依据《来料检验判定标准》只对规格型号、数量等进行验证。</w:t>
            </w:r>
          </w:p>
          <w:p>
            <w:pPr>
              <w:spacing w:line="360" w:lineRule="auto"/>
              <w:ind w:firstLine="420" w:firstLineChars="200"/>
              <w:rPr>
                <w:rFonts w:hint="eastAsia"/>
                <w:color w:val="auto"/>
                <w:szCs w:val="21"/>
                <w:lang w:val="en-US" w:eastAsia="zh-CN"/>
              </w:rPr>
            </w:pPr>
            <w:r>
              <w:rPr>
                <w:rFonts w:hint="eastAsia"/>
                <w:color w:val="auto"/>
                <w:szCs w:val="21"/>
                <w:lang w:val="en-US" w:eastAsia="zh-CN"/>
              </w:rPr>
              <w:t>抽查《采购物资检验记录表》</w:t>
            </w:r>
          </w:p>
          <w:p>
            <w:pPr>
              <w:spacing w:line="360" w:lineRule="auto"/>
              <w:ind w:firstLine="420" w:firstLineChars="200"/>
              <w:rPr>
                <w:rFonts w:hint="default" w:eastAsia="宋体"/>
                <w:color w:val="auto"/>
                <w:szCs w:val="21"/>
                <w:lang w:val="en-US" w:eastAsia="zh-CN"/>
              </w:rPr>
            </w:pPr>
            <w:r>
              <w:rPr>
                <w:rFonts w:hint="eastAsia"/>
                <w:color w:val="auto"/>
                <w:szCs w:val="21"/>
                <w:lang w:val="en-US" w:eastAsia="zh-CN"/>
              </w:rPr>
              <w:t>1、产品名称：温度传感器，20个，供货方：</w:t>
            </w:r>
            <w:r>
              <w:rPr>
                <w:rFonts w:hint="eastAsia"/>
                <w:color w:val="auto"/>
                <w:lang w:val="en-US" w:eastAsia="zh-CN"/>
              </w:rPr>
              <w:t>锦州精微；</w:t>
            </w:r>
          </w:p>
          <w:p>
            <w:pPr>
              <w:spacing w:line="360" w:lineRule="auto"/>
              <w:ind w:firstLine="420" w:firstLineChars="200"/>
              <w:rPr>
                <w:rFonts w:hint="eastAsia"/>
                <w:color w:val="auto"/>
                <w:szCs w:val="21"/>
                <w:lang w:val="en-US" w:eastAsia="zh-CN"/>
              </w:rPr>
            </w:pPr>
            <w:r>
              <w:rPr>
                <w:rFonts w:hint="eastAsia"/>
                <w:color w:val="auto"/>
                <w:szCs w:val="21"/>
                <w:lang w:val="en-US" w:eastAsia="zh-CN"/>
              </w:rPr>
              <w:t xml:space="preserve">检验项目：标识、外观、材质、尺寸、环保标志、安全警示等项目； </w:t>
            </w:r>
          </w:p>
          <w:p>
            <w:pPr>
              <w:spacing w:line="360" w:lineRule="auto"/>
              <w:ind w:firstLine="420" w:firstLineChars="200"/>
              <w:rPr>
                <w:rFonts w:hint="eastAsia"/>
                <w:color w:val="auto"/>
                <w:szCs w:val="21"/>
                <w:lang w:val="en-US" w:eastAsia="zh-CN"/>
              </w:rPr>
            </w:pPr>
            <w:r>
              <w:rPr>
                <w:rFonts w:hint="eastAsia"/>
                <w:color w:val="auto"/>
                <w:szCs w:val="21"/>
                <w:lang w:val="en-US" w:eastAsia="zh-CN"/>
              </w:rPr>
              <w:t>检验结论：合格         </w:t>
            </w:r>
          </w:p>
          <w:p>
            <w:pPr>
              <w:spacing w:line="360" w:lineRule="auto"/>
              <w:ind w:firstLine="420" w:firstLineChars="200"/>
              <w:rPr>
                <w:rFonts w:hint="eastAsia"/>
                <w:color w:val="auto"/>
                <w:szCs w:val="21"/>
                <w:lang w:val="en-US" w:eastAsia="zh-CN"/>
              </w:rPr>
            </w:pPr>
            <w:r>
              <w:rPr>
                <w:rFonts w:hint="eastAsia"/>
                <w:color w:val="auto"/>
                <w:szCs w:val="21"/>
                <w:lang w:val="en-US" w:eastAsia="zh-CN"/>
              </w:rPr>
              <w:t>检验员：李井丰           2020.11.22</w:t>
            </w:r>
          </w:p>
          <w:p>
            <w:pPr>
              <w:spacing w:line="360" w:lineRule="auto"/>
              <w:ind w:firstLine="420" w:firstLineChars="200"/>
              <w:rPr>
                <w:rFonts w:hint="eastAsia" w:ascii="宋体" w:hAnsi="宋体" w:cs="宋体"/>
                <w:color w:val="auto"/>
                <w:szCs w:val="24"/>
              </w:rPr>
            </w:pPr>
            <w:r>
              <w:rPr>
                <w:rFonts w:hint="eastAsia" w:ascii="宋体" w:hAnsi="宋体" w:eastAsia="宋体" w:cs="宋体"/>
                <w:color w:val="auto"/>
                <w:szCs w:val="24"/>
                <w:lang w:eastAsia="zh-CN"/>
              </w:rPr>
              <w:drawing>
                <wp:anchor distT="0" distB="0" distL="114300" distR="114300" simplePos="0" relativeHeight="251667456" behindDoc="0" locked="0" layoutInCell="1" allowOverlap="1">
                  <wp:simplePos x="0" y="0"/>
                  <wp:positionH relativeFrom="column">
                    <wp:posOffset>203200</wp:posOffset>
                  </wp:positionH>
                  <wp:positionV relativeFrom="paragraph">
                    <wp:posOffset>262890</wp:posOffset>
                  </wp:positionV>
                  <wp:extent cx="2856865" cy="1997075"/>
                  <wp:effectExtent l="0" t="0" r="635" b="9525"/>
                  <wp:wrapNone/>
                  <wp:docPr id="20" name="图片 20" descr="7cca96e44c61525b79fe061583395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cca96e44c61525b79fe061583395e3"/>
                          <pic:cNvPicPr>
                            <a:picLocks noChangeAspect="1"/>
                          </pic:cNvPicPr>
                        </pic:nvPicPr>
                        <pic:blipFill>
                          <a:blip r:embed="rId12"/>
                          <a:stretch>
                            <a:fillRect/>
                          </a:stretch>
                        </pic:blipFill>
                        <pic:spPr>
                          <a:xfrm>
                            <a:off x="0" y="0"/>
                            <a:ext cx="2856865" cy="1997075"/>
                          </a:xfrm>
                          <a:prstGeom prst="rect">
                            <a:avLst/>
                          </a:prstGeom>
                        </pic:spPr>
                      </pic:pic>
                    </a:graphicData>
                  </a:graphic>
                </wp:anchor>
              </w:drawing>
            </w:r>
            <w:r>
              <w:rPr>
                <w:rFonts w:hint="eastAsia" w:ascii="宋体" w:hAnsi="宋体" w:eastAsia="宋体" w:cs="宋体"/>
                <w:color w:val="auto"/>
                <w:szCs w:val="24"/>
                <w:lang w:eastAsia="zh-CN"/>
              </w:rPr>
              <w:drawing>
                <wp:anchor distT="0" distB="0" distL="114300" distR="114300" simplePos="0" relativeHeight="251668480" behindDoc="0" locked="0" layoutInCell="1" allowOverlap="1">
                  <wp:simplePos x="0" y="0"/>
                  <wp:positionH relativeFrom="column">
                    <wp:posOffset>3530600</wp:posOffset>
                  </wp:positionH>
                  <wp:positionV relativeFrom="paragraph">
                    <wp:posOffset>288290</wp:posOffset>
                  </wp:positionV>
                  <wp:extent cx="2858135" cy="2004695"/>
                  <wp:effectExtent l="0" t="0" r="12065" b="1905"/>
                  <wp:wrapNone/>
                  <wp:docPr id="21" name="图片 21" descr="b52985ca2c40eadbfde0074983ecc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52985ca2c40eadbfde0074983ecc5a"/>
                          <pic:cNvPicPr>
                            <a:picLocks noChangeAspect="1"/>
                          </pic:cNvPicPr>
                        </pic:nvPicPr>
                        <pic:blipFill>
                          <a:blip r:embed="rId13"/>
                          <a:stretch>
                            <a:fillRect/>
                          </a:stretch>
                        </pic:blipFill>
                        <pic:spPr>
                          <a:xfrm>
                            <a:off x="0" y="0"/>
                            <a:ext cx="2858135" cy="2004695"/>
                          </a:xfrm>
                          <a:prstGeom prst="rect">
                            <a:avLst/>
                          </a:prstGeom>
                        </pic:spPr>
                      </pic:pic>
                    </a:graphicData>
                  </a:graphic>
                </wp:anchor>
              </w:drawing>
            </w:r>
            <w:r>
              <w:rPr>
                <w:rFonts w:hint="eastAsia" w:ascii="宋体" w:hAnsi="宋体" w:cs="宋体"/>
                <w:color w:val="auto"/>
                <w:szCs w:val="24"/>
              </w:rPr>
              <w:t>………</w:t>
            </w:r>
          </w:p>
          <w:p>
            <w:pPr>
              <w:pStyle w:val="2"/>
              <w:rPr>
                <w:rFonts w:hint="eastAsia" w:ascii="宋体" w:hAnsi="宋体" w:eastAsia="宋体" w:cs="宋体"/>
                <w:color w:val="auto"/>
                <w:szCs w:val="24"/>
                <w:lang w:eastAsia="zh-CN"/>
              </w:rPr>
            </w:pPr>
            <w:r>
              <w:rPr>
                <w:rFonts w:hint="eastAsia" w:ascii="宋体" w:hAnsi="宋体" w:eastAsia="宋体" w:cs="宋体"/>
                <w:color w:val="auto"/>
                <w:szCs w:val="24"/>
                <w:lang w:eastAsia="zh-CN"/>
              </w:rPr>
              <w:drawing>
                <wp:anchor distT="0" distB="0" distL="114300" distR="114300" simplePos="0" relativeHeight="251671552" behindDoc="0" locked="0" layoutInCell="1" allowOverlap="1">
                  <wp:simplePos x="0" y="0"/>
                  <wp:positionH relativeFrom="column">
                    <wp:posOffset>196850</wp:posOffset>
                  </wp:positionH>
                  <wp:positionV relativeFrom="paragraph">
                    <wp:posOffset>60960</wp:posOffset>
                  </wp:positionV>
                  <wp:extent cx="2856865" cy="1997075"/>
                  <wp:effectExtent l="0" t="0" r="635" b="9525"/>
                  <wp:wrapNone/>
                  <wp:docPr id="24" name="图片 24" descr="7cca96e44c61525b79fe061583395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cca96e44c61525b79fe061583395e3"/>
                          <pic:cNvPicPr>
                            <a:picLocks noChangeAspect="1"/>
                          </pic:cNvPicPr>
                        </pic:nvPicPr>
                        <pic:blipFill>
                          <a:blip r:embed="rId12"/>
                          <a:stretch>
                            <a:fillRect/>
                          </a:stretch>
                        </pic:blipFill>
                        <pic:spPr>
                          <a:xfrm>
                            <a:off x="0" y="0"/>
                            <a:ext cx="2856865" cy="1997075"/>
                          </a:xfrm>
                          <a:prstGeom prst="rect">
                            <a:avLst/>
                          </a:prstGeom>
                        </pic:spPr>
                      </pic:pic>
                    </a:graphicData>
                  </a:graphic>
                </wp:anchor>
              </w:drawing>
            </w:r>
            <w:r>
              <w:rPr>
                <w:rFonts w:hint="eastAsia" w:ascii="宋体" w:hAnsi="宋体" w:eastAsia="宋体" w:cs="宋体"/>
                <w:color w:val="auto"/>
                <w:szCs w:val="24"/>
                <w:lang w:eastAsia="zh-CN"/>
              </w:rPr>
              <w:drawing>
                <wp:anchor distT="0" distB="0" distL="114300" distR="114300" simplePos="0" relativeHeight="251672576" behindDoc="0" locked="0" layoutInCell="1" allowOverlap="1">
                  <wp:simplePos x="0" y="0"/>
                  <wp:positionH relativeFrom="column">
                    <wp:posOffset>3524250</wp:posOffset>
                  </wp:positionH>
                  <wp:positionV relativeFrom="paragraph">
                    <wp:posOffset>86360</wp:posOffset>
                  </wp:positionV>
                  <wp:extent cx="2858135" cy="2004695"/>
                  <wp:effectExtent l="0" t="0" r="12065" b="1905"/>
                  <wp:wrapNone/>
                  <wp:docPr id="28" name="图片 28" descr="b52985ca2c40eadbfde0074983ecc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b52985ca2c40eadbfde0074983ecc5a"/>
                          <pic:cNvPicPr>
                            <a:picLocks noChangeAspect="1"/>
                          </pic:cNvPicPr>
                        </pic:nvPicPr>
                        <pic:blipFill>
                          <a:blip r:embed="rId13"/>
                          <a:stretch>
                            <a:fillRect/>
                          </a:stretch>
                        </pic:blipFill>
                        <pic:spPr>
                          <a:xfrm>
                            <a:off x="0" y="0"/>
                            <a:ext cx="2858135" cy="2004695"/>
                          </a:xfrm>
                          <a:prstGeom prst="rect">
                            <a:avLst/>
                          </a:prstGeom>
                        </pic:spPr>
                      </pic:pic>
                    </a:graphicData>
                  </a:graphic>
                </wp:anchor>
              </w:drawing>
            </w:r>
          </w:p>
          <w:p>
            <w:pPr>
              <w:pStyle w:val="3"/>
              <w:rPr>
                <w:rFonts w:hint="eastAsia" w:ascii="宋体" w:hAnsi="宋体" w:cs="宋体"/>
                <w:color w:val="auto"/>
                <w:szCs w:val="24"/>
              </w:rPr>
            </w:pPr>
          </w:p>
          <w:p>
            <w:pPr>
              <w:pStyle w:val="5"/>
              <w:rPr>
                <w:rFonts w:hint="eastAsia" w:ascii="宋体" w:hAnsi="宋体" w:eastAsia="宋体" w:cs="宋体"/>
                <w:color w:val="auto"/>
                <w:szCs w:val="24"/>
                <w:lang w:eastAsia="zh-CN"/>
              </w:rPr>
            </w:pPr>
          </w:p>
          <w:p>
            <w:pPr>
              <w:rPr>
                <w:rFonts w:hint="eastAsia" w:ascii="宋体" w:hAnsi="宋体" w:cs="宋体"/>
                <w:color w:val="auto"/>
                <w:szCs w:val="24"/>
              </w:rPr>
            </w:pPr>
          </w:p>
          <w:p>
            <w:pPr>
              <w:pStyle w:val="2"/>
              <w:rPr>
                <w:rFonts w:hint="eastAsia" w:ascii="宋体" w:hAnsi="宋体" w:cs="宋体"/>
                <w:color w:val="auto"/>
                <w:szCs w:val="24"/>
              </w:rPr>
            </w:pPr>
          </w:p>
          <w:p>
            <w:pPr>
              <w:pStyle w:val="3"/>
              <w:rPr>
                <w:rFonts w:hint="eastAsia" w:ascii="宋体" w:hAnsi="宋体" w:cs="宋体"/>
                <w:color w:val="auto"/>
                <w:szCs w:val="24"/>
              </w:rPr>
            </w:pPr>
          </w:p>
          <w:p>
            <w:pPr>
              <w:pStyle w:val="5"/>
              <w:rPr>
                <w:rFonts w:hint="eastAsia" w:ascii="宋体" w:hAnsi="宋体" w:cs="宋体"/>
                <w:color w:val="auto"/>
                <w:szCs w:val="24"/>
              </w:rPr>
            </w:pPr>
          </w:p>
          <w:p>
            <w:pPr>
              <w:rPr>
                <w:rFonts w:hint="eastAsia" w:ascii="宋体" w:hAnsi="宋体" w:cs="宋体"/>
                <w:color w:val="auto"/>
                <w:szCs w:val="24"/>
              </w:rPr>
            </w:pPr>
          </w:p>
          <w:p>
            <w:pPr>
              <w:pStyle w:val="2"/>
              <w:rPr>
                <w:rFonts w:hint="eastAsia" w:ascii="宋体" w:hAnsi="宋体" w:cs="宋体"/>
                <w:color w:val="auto"/>
                <w:szCs w:val="24"/>
              </w:rPr>
            </w:pPr>
          </w:p>
          <w:p>
            <w:pPr>
              <w:pStyle w:val="3"/>
              <w:rPr>
                <w:rFonts w:hint="eastAsia" w:ascii="宋体" w:hAnsi="宋体" w:cs="宋体"/>
                <w:color w:val="auto"/>
                <w:szCs w:val="24"/>
              </w:rPr>
            </w:pPr>
          </w:p>
          <w:p>
            <w:pPr>
              <w:pStyle w:val="5"/>
              <w:rPr>
                <w:rFonts w:hint="eastAsia" w:ascii="宋体" w:hAnsi="宋体" w:cs="宋体"/>
                <w:color w:val="auto"/>
                <w:szCs w:val="24"/>
              </w:rPr>
            </w:pPr>
          </w:p>
          <w:p>
            <w:pPr>
              <w:rPr>
                <w:rFonts w:hint="eastAsia" w:eastAsia="宋体"/>
                <w:lang w:eastAsia="zh-CN"/>
              </w:rPr>
            </w:pPr>
            <w:r>
              <w:rPr>
                <w:rFonts w:hint="eastAsia" w:eastAsia="宋体"/>
                <w:lang w:eastAsia="zh-CN"/>
              </w:rPr>
              <w:drawing>
                <wp:anchor distT="0" distB="0" distL="114300" distR="114300" simplePos="0" relativeHeight="251670528" behindDoc="0" locked="0" layoutInCell="1" allowOverlap="1">
                  <wp:simplePos x="0" y="0"/>
                  <wp:positionH relativeFrom="column">
                    <wp:posOffset>3549650</wp:posOffset>
                  </wp:positionH>
                  <wp:positionV relativeFrom="paragraph">
                    <wp:posOffset>66040</wp:posOffset>
                  </wp:positionV>
                  <wp:extent cx="2801620" cy="1967865"/>
                  <wp:effectExtent l="0" t="0" r="5080" b="635"/>
                  <wp:wrapNone/>
                  <wp:docPr id="23" name="图片 23" descr="1f6f989e80fe2d7f1ff4d5fff0004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f6f989e80fe2d7f1ff4d5fff0004aa"/>
                          <pic:cNvPicPr>
                            <a:picLocks noChangeAspect="1"/>
                          </pic:cNvPicPr>
                        </pic:nvPicPr>
                        <pic:blipFill>
                          <a:blip r:embed="rId14"/>
                          <a:stretch>
                            <a:fillRect/>
                          </a:stretch>
                        </pic:blipFill>
                        <pic:spPr>
                          <a:xfrm>
                            <a:off x="0" y="0"/>
                            <a:ext cx="2801620" cy="1967865"/>
                          </a:xfrm>
                          <a:prstGeom prst="rect">
                            <a:avLst/>
                          </a:prstGeom>
                        </pic:spPr>
                      </pic:pic>
                    </a:graphicData>
                  </a:graphic>
                </wp:anchor>
              </w:drawing>
            </w:r>
            <w:r>
              <w:rPr>
                <w:rFonts w:hint="eastAsia" w:eastAsia="宋体"/>
                <w:lang w:eastAsia="zh-CN"/>
              </w:rPr>
              <w:drawing>
                <wp:anchor distT="0" distB="0" distL="114300" distR="114300" simplePos="0" relativeHeight="251669504" behindDoc="0" locked="0" layoutInCell="1" allowOverlap="1">
                  <wp:simplePos x="0" y="0"/>
                  <wp:positionH relativeFrom="column">
                    <wp:posOffset>203200</wp:posOffset>
                  </wp:positionH>
                  <wp:positionV relativeFrom="paragraph">
                    <wp:posOffset>40640</wp:posOffset>
                  </wp:positionV>
                  <wp:extent cx="2840355" cy="2013585"/>
                  <wp:effectExtent l="0" t="0" r="4445" b="5715"/>
                  <wp:wrapNone/>
                  <wp:docPr id="22" name="图片 22" descr="a2151a30684b5559d7ed82451bb2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2151a30684b5559d7ed82451bb2d16"/>
                          <pic:cNvPicPr>
                            <a:picLocks noChangeAspect="1"/>
                          </pic:cNvPicPr>
                        </pic:nvPicPr>
                        <pic:blipFill>
                          <a:blip r:embed="rId15"/>
                          <a:stretch>
                            <a:fillRect/>
                          </a:stretch>
                        </pic:blipFill>
                        <pic:spPr>
                          <a:xfrm>
                            <a:off x="0" y="0"/>
                            <a:ext cx="2840355" cy="2013585"/>
                          </a:xfrm>
                          <a:prstGeom prst="rect">
                            <a:avLst/>
                          </a:prstGeom>
                        </pic:spPr>
                      </pic:pic>
                    </a:graphicData>
                  </a:graphic>
                </wp:anchor>
              </w:drawing>
            </w:r>
          </w:p>
          <w:p>
            <w:pPr>
              <w:spacing w:line="360" w:lineRule="auto"/>
              <w:ind w:firstLine="420" w:firstLineChars="200"/>
              <w:rPr>
                <w:rFonts w:hint="eastAsia" w:ascii="宋体" w:hAnsi="宋体" w:cs="宋体"/>
                <w:color w:val="auto"/>
                <w:szCs w:val="24"/>
              </w:rPr>
            </w:pPr>
          </w:p>
          <w:p>
            <w:pPr>
              <w:spacing w:line="360" w:lineRule="auto"/>
              <w:ind w:firstLine="420" w:firstLineChars="200"/>
              <w:rPr>
                <w:rFonts w:hint="eastAsia" w:ascii="宋体" w:hAnsi="宋体" w:cs="宋体"/>
                <w:color w:val="auto"/>
                <w:szCs w:val="24"/>
              </w:rPr>
            </w:pPr>
          </w:p>
          <w:p>
            <w:pPr>
              <w:spacing w:line="360" w:lineRule="auto"/>
              <w:ind w:firstLine="420" w:firstLineChars="200"/>
              <w:rPr>
                <w:rFonts w:hint="eastAsia" w:ascii="宋体" w:hAnsi="宋体" w:cs="宋体"/>
                <w:color w:val="auto"/>
                <w:szCs w:val="24"/>
              </w:rPr>
            </w:pPr>
          </w:p>
          <w:p>
            <w:pPr>
              <w:spacing w:line="360" w:lineRule="auto"/>
              <w:ind w:firstLine="420" w:firstLineChars="200"/>
              <w:rPr>
                <w:rFonts w:hint="eastAsia" w:ascii="宋体" w:hAnsi="宋体" w:cs="宋体"/>
                <w:color w:val="auto"/>
                <w:szCs w:val="24"/>
              </w:rPr>
            </w:pPr>
          </w:p>
          <w:p>
            <w:pPr>
              <w:spacing w:line="360" w:lineRule="auto"/>
              <w:ind w:firstLine="420" w:firstLineChars="200"/>
              <w:rPr>
                <w:rFonts w:hint="eastAsia" w:ascii="宋体" w:hAnsi="宋体" w:cs="宋体"/>
                <w:color w:val="auto"/>
                <w:szCs w:val="24"/>
              </w:rPr>
            </w:pPr>
          </w:p>
          <w:p>
            <w:pPr>
              <w:spacing w:line="360" w:lineRule="auto"/>
              <w:ind w:firstLine="420" w:firstLineChars="200"/>
              <w:rPr>
                <w:rFonts w:hint="eastAsia" w:ascii="宋体" w:hAnsi="宋体" w:cs="宋体"/>
                <w:color w:val="auto"/>
                <w:szCs w:val="24"/>
              </w:rPr>
            </w:pPr>
          </w:p>
          <w:p>
            <w:pPr>
              <w:spacing w:line="360" w:lineRule="auto"/>
              <w:ind w:firstLine="420" w:firstLineChars="200"/>
              <w:rPr>
                <w:rFonts w:hint="eastAsia" w:ascii="宋体" w:hAnsi="宋体" w:cs="宋体"/>
                <w:color w:val="auto"/>
                <w:szCs w:val="24"/>
              </w:rPr>
            </w:pPr>
          </w:p>
          <w:p>
            <w:pPr>
              <w:spacing w:line="360" w:lineRule="auto"/>
              <w:ind w:firstLine="420" w:firstLineChars="200"/>
              <w:rPr>
                <w:rFonts w:ascii="宋体" w:hAnsi="宋体" w:cs="宋体"/>
                <w:color w:val="auto"/>
                <w:szCs w:val="24"/>
              </w:rPr>
            </w:pPr>
            <w:r>
              <w:rPr>
                <w:rFonts w:hint="eastAsia" w:ascii="宋体" w:hAnsi="宋体" w:cs="宋体"/>
                <w:color w:val="auto"/>
                <w:szCs w:val="24"/>
              </w:rPr>
              <w:t>二、过程及成品检验</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 xml:space="preserve">公司策划《产品质量检验制度》，根据相关标准和生产工艺的要求在各生产关键工序均设置了验收控制点，有专职质检员负责检验及验收。 </w:t>
            </w:r>
            <w:r>
              <w:rPr>
                <w:rFonts w:hint="eastAsia" w:ascii="宋体" w:hAnsi="宋体" w:cs="宋体"/>
                <w:color w:val="auto"/>
                <w:szCs w:val="24"/>
                <w:lang w:val="en-US" w:eastAsia="zh-CN"/>
              </w:rPr>
              <w:t>详见设计8.3条款、生产、系统集成、技术服务过程8.5.1条款。</w:t>
            </w:r>
            <w:r>
              <w:rPr>
                <w:rFonts w:hint="eastAsia" w:ascii="宋体" w:hAnsi="宋体" w:cs="宋体"/>
                <w:color w:val="auto"/>
                <w:szCs w:val="24"/>
              </w:rPr>
              <w:t>均能提供记录。</w:t>
            </w:r>
          </w:p>
          <w:p>
            <w:pPr>
              <w:spacing w:line="360" w:lineRule="auto"/>
              <w:ind w:firstLine="420" w:firstLineChars="200"/>
              <w:rPr>
                <w:rFonts w:hint="default" w:ascii="宋体" w:hAnsi="宋体" w:eastAsia="宋体" w:cs="宋体"/>
                <w:color w:val="auto"/>
                <w:szCs w:val="24"/>
                <w:lang w:val="en-US" w:eastAsia="zh-CN"/>
              </w:rPr>
            </w:pPr>
            <w:r>
              <w:rPr>
                <w:rFonts w:hint="eastAsia" w:ascii="宋体" w:hAnsi="宋体" w:cs="宋体"/>
                <w:color w:val="auto"/>
                <w:szCs w:val="24"/>
              </w:rPr>
              <w:t>查委外检测情况:第三方委外检测情况</w:t>
            </w:r>
            <w:r>
              <w:rPr>
                <w:rFonts w:hint="eastAsia" w:ascii="宋体" w:hAnsi="宋体" w:cs="宋体"/>
                <w:color w:val="auto"/>
                <w:szCs w:val="24"/>
                <w:lang w:eastAsia="zh-CN"/>
              </w:rPr>
              <w:t>：《高压物性取样器检验报告》、《井下高压物性取样器》、《有缆智能分注仪》</w:t>
            </w:r>
            <w:r>
              <w:rPr>
                <w:rFonts w:hint="eastAsia" w:ascii="宋体" w:hAnsi="宋体" w:cs="宋体"/>
                <w:color w:val="auto"/>
                <w:szCs w:val="24"/>
                <w:lang w:val="en-US" w:eastAsia="zh-CN"/>
              </w:rPr>
              <w:t>等产品的检测报告。详见附件。</w:t>
            </w:r>
          </w:p>
          <w:p>
            <w:pPr>
              <w:spacing w:line="360" w:lineRule="auto"/>
              <w:ind w:firstLine="420" w:firstLineChars="200"/>
              <w:rPr>
                <w:rFonts w:hint="eastAsia" w:ascii="宋体" w:hAnsi="宋体" w:eastAsia="宋体" w:cs="宋体"/>
                <w:sz w:val="21"/>
                <w:szCs w:val="21"/>
                <w:lang w:eastAsia="zh-TW"/>
              </w:rPr>
            </w:pPr>
            <w:r>
              <w:rPr>
                <w:rFonts w:hint="eastAsia" w:ascii="宋体" w:hAnsi="宋体" w:cs="宋体"/>
                <w:color w:val="auto"/>
                <w:szCs w:val="24"/>
              </w:rPr>
              <w:t>组织的检验工作均为授权的检验员进行检查。基本符合要求。</w:t>
            </w:r>
          </w:p>
        </w:tc>
        <w:tc>
          <w:tcPr>
            <w:tcW w:w="732" w:type="dxa"/>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2173" w:type="dxa"/>
            <w:vAlign w:val="top"/>
          </w:tcPr>
          <w:p>
            <w:pPr>
              <w:spacing w:line="360" w:lineRule="auto"/>
              <w:rPr>
                <w:rFonts w:hint="eastAsia" w:ascii="楷体" w:hAnsi="楷体" w:eastAsia="楷体" w:cs="Times New Roman"/>
                <w:b/>
                <w:kern w:val="2"/>
                <w:sz w:val="24"/>
                <w:szCs w:val="24"/>
                <w:lang w:val="en-US" w:eastAsia="zh-CN" w:bidi="ar-SA"/>
              </w:rPr>
            </w:pPr>
            <w:r>
              <w:rPr>
                <w:rFonts w:hint="eastAsia" w:ascii="楷体" w:hAnsi="楷体" w:eastAsia="楷体"/>
                <w:sz w:val="24"/>
                <w:szCs w:val="24"/>
              </w:rPr>
              <w:t>不合格输出的控制</w:t>
            </w:r>
          </w:p>
        </w:tc>
        <w:tc>
          <w:tcPr>
            <w:tcW w:w="965" w:type="dxa"/>
            <w:vAlign w:val="top"/>
          </w:tcPr>
          <w:p>
            <w:pPr>
              <w:spacing w:line="360" w:lineRule="auto"/>
              <w:rPr>
                <w:rFonts w:ascii="楷体" w:hAnsi="楷体" w:eastAsia="楷体"/>
                <w:sz w:val="24"/>
                <w:szCs w:val="24"/>
              </w:rPr>
            </w:pPr>
            <w:r>
              <w:rPr>
                <w:rFonts w:hint="eastAsia" w:ascii="楷体" w:hAnsi="楷体" w:eastAsia="楷体"/>
                <w:sz w:val="24"/>
                <w:szCs w:val="24"/>
              </w:rPr>
              <w:t>Q</w:t>
            </w:r>
            <w:r>
              <w:rPr>
                <w:rFonts w:ascii="楷体" w:hAnsi="楷体" w:eastAsia="楷体"/>
                <w:sz w:val="24"/>
                <w:szCs w:val="24"/>
              </w:rPr>
              <w:t>8.7</w:t>
            </w:r>
            <w:r>
              <w:rPr>
                <w:rFonts w:hint="eastAsia" w:ascii="楷体" w:hAnsi="楷体" w:eastAsia="楷体"/>
                <w:sz w:val="24"/>
                <w:szCs w:val="24"/>
              </w:rPr>
              <w:t xml:space="preserve"> </w:t>
            </w:r>
          </w:p>
          <w:p>
            <w:pPr>
              <w:spacing w:line="360" w:lineRule="auto"/>
              <w:ind w:left="105" w:leftChars="0"/>
              <w:rPr>
                <w:rFonts w:hint="eastAsia" w:ascii="楷体" w:hAnsi="楷体" w:eastAsia="楷体" w:cs="Arial"/>
                <w:kern w:val="2"/>
                <w:sz w:val="24"/>
                <w:szCs w:val="24"/>
                <w:lang w:val="en-US" w:eastAsia="zh-CN" w:bidi="ar-SA"/>
              </w:rPr>
            </w:pPr>
          </w:p>
        </w:tc>
        <w:tc>
          <w:tcPr>
            <w:tcW w:w="10927" w:type="dxa"/>
            <w:vAlign w:val="top"/>
          </w:tcPr>
          <w:p>
            <w:pPr>
              <w:spacing w:line="360" w:lineRule="auto"/>
              <w:ind w:firstLine="420" w:firstLineChars="200"/>
              <w:jc w:val="both"/>
              <w:rPr>
                <w:rFonts w:hint="eastAsia" w:ascii="宋体" w:hAnsi="宋体" w:eastAsia="宋体" w:cs="宋体"/>
                <w:sz w:val="21"/>
                <w:szCs w:val="21"/>
                <w:lang w:eastAsia="zh-TW"/>
              </w:rPr>
            </w:pPr>
            <w:r>
              <w:rPr>
                <w:rFonts w:hint="eastAsia" w:ascii="宋体" w:hAnsi="宋体" w:eastAsia="宋体" w:cs="宋体"/>
                <w:sz w:val="21"/>
                <w:szCs w:val="21"/>
                <w:lang w:eastAsia="zh-TW"/>
              </w:rPr>
              <w:t>公司制定并执行了《不合格输出控制程序》，文件对不合格品的识别、控制方法、职责权限作出了具体规定，基本符合标准要求。</w:t>
            </w:r>
          </w:p>
          <w:p>
            <w:pPr>
              <w:spacing w:line="360" w:lineRule="auto"/>
              <w:ind w:firstLine="420" w:firstLineChars="200"/>
              <w:jc w:val="both"/>
              <w:rPr>
                <w:rFonts w:hint="eastAsia" w:ascii="宋体" w:hAnsi="宋体" w:eastAsia="宋体" w:cs="宋体"/>
                <w:sz w:val="21"/>
                <w:szCs w:val="21"/>
                <w:lang w:eastAsia="zh-TW"/>
              </w:rPr>
            </w:pPr>
            <w:r>
              <w:rPr>
                <w:rFonts w:hint="eastAsia" w:ascii="宋体" w:hAnsi="宋体" w:eastAsia="宋体" w:cs="宋体"/>
                <w:sz w:val="21"/>
                <w:szCs w:val="21"/>
                <w:lang w:eastAsia="zh-TW"/>
              </w:rPr>
              <w:t>公司能够使现场不合格品得到有效识别，并防止非预期使用和交付。</w:t>
            </w:r>
          </w:p>
          <w:p>
            <w:pPr>
              <w:spacing w:line="360" w:lineRule="auto"/>
              <w:ind w:firstLine="420" w:firstLineChars="200"/>
              <w:jc w:val="both"/>
              <w:rPr>
                <w:rFonts w:hint="eastAsia" w:ascii="宋体" w:hAnsi="宋体" w:eastAsia="宋体" w:cs="宋体"/>
                <w:kern w:val="2"/>
                <w:sz w:val="21"/>
                <w:szCs w:val="21"/>
                <w:lang w:val="en-US" w:eastAsia="zh-TW" w:bidi="ar-SA"/>
              </w:rPr>
            </w:pPr>
            <w:r>
              <w:rPr>
                <w:rFonts w:hint="eastAsia" w:ascii="宋体" w:hAnsi="宋体" w:cs="宋体"/>
                <w:sz w:val="21"/>
                <w:szCs w:val="21"/>
                <w:lang w:val="en-US" w:eastAsia="zh-CN"/>
              </w:rPr>
              <w:t>计量</w:t>
            </w:r>
            <w:r>
              <w:rPr>
                <w:rFonts w:hint="eastAsia" w:ascii="宋体" w:hAnsi="宋体" w:eastAsia="宋体" w:cs="宋体"/>
                <w:sz w:val="21"/>
                <w:szCs w:val="21"/>
                <w:lang w:eastAsia="zh-TW"/>
              </w:rPr>
              <w:t>产品交付后没有发现不合格的情况，不合格品控制有效。</w:t>
            </w:r>
          </w:p>
        </w:tc>
        <w:tc>
          <w:tcPr>
            <w:tcW w:w="732" w:type="dxa"/>
          </w:tcPr>
          <w:p>
            <w:pPr>
              <w:spacing w:line="320" w:lineRule="exact"/>
              <w:rPr>
                <w:rFonts w:hint="default"/>
                <w:lang w:val="en-US" w:eastAsia="zh-CN"/>
              </w:rPr>
            </w:pPr>
            <w:r>
              <w:rPr>
                <w:rFonts w:hint="eastAsia"/>
                <w:lang w:val="en-US" w:eastAsia="zh-CN"/>
              </w:rPr>
              <w:t>OK</w:t>
            </w:r>
          </w:p>
          <w:p>
            <w:pPr>
              <w:rPr>
                <w:rFonts w:hint="eastAsia" w:asciiTheme="minorEastAsia" w:hAnsiTheme="minorEastAsia" w:eastAsiaTheme="minorEastAsia" w:cstheme="minorEastAsia"/>
                <w:sz w:val="21"/>
                <w:szCs w:val="21"/>
              </w:rPr>
            </w:pPr>
          </w:p>
        </w:tc>
      </w:tr>
    </w:tbl>
    <w:p>
      <w:pPr>
        <w:pStyle w:val="14"/>
        <w:rPr>
          <w:rFonts w:hint="eastAsia"/>
        </w:rPr>
      </w:pPr>
    </w:p>
    <w:p>
      <w:pPr>
        <w:rPr>
          <w:rFonts w:hint="eastAsia"/>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0" w:usb3="00000000" w:csb0="00100000" w:csb1="00000000"/>
  </w:font>
  <w:font w:name="楷体">
    <w:panose1 w:val="02010609060101010101"/>
    <w:charset w:val="86"/>
    <w:family w:val="modern"/>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1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tabs>
        <w:tab w:val="left" w:pos="8910"/>
        <w:tab w:val="left" w:pos="9142"/>
        <w:tab w:val="clear" w:pos="4153"/>
      </w:tabs>
      <w:spacing w:line="320" w:lineRule="exact"/>
      <w:ind w:left="-86" w:leftChars="-41" w:firstLine="810" w:firstLineChars="450"/>
      <w:jc w:val="left"/>
      <w:rPr>
        <w:rStyle w:val="26"/>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26"/>
        <w:rFonts w:hint="default"/>
      </w:rPr>
      <w:t>北京国标联合认证有限公司</w:t>
    </w:r>
    <w:r>
      <w:rPr>
        <w:rStyle w:val="26"/>
        <w:rFonts w:hint="default"/>
      </w:rPr>
      <w:tab/>
    </w:r>
    <w:r>
      <w:rPr>
        <w:rStyle w:val="26"/>
        <w:rFonts w:hint="default"/>
      </w:rPr>
      <w:tab/>
    </w:r>
    <w:r>
      <w:rPr>
        <w:rStyle w:val="26"/>
        <w:rFonts w:hint="default"/>
      </w:rPr>
      <w:tab/>
    </w:r>
  </w:p>
  <w:p>
    <w:pPr>
      <w:pStyle w:val="15"/>
      <w:pBdr>
        <w:bottom w:val="none" w:color="auto" w:sz="0" w:space="0"/>
      </w:pBdr>
      <w:spacing w:line="320" w:lineRule="exact"/>
      <w:jc w:val="left"/>
    </w:pPr>
    <w:r>
      <w:pict>
        <v:shape id="_x0000_s4097" o:spid="_x0000_s4097"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26"/>
        <w:rFonts w:hint="default"/>
        <w:w w:val="90"/>
      </w:rPr>
      <w:t>Beijing International Standard united Certification Co.,Ltd.</w:t>
    </w:r>
  </w:p>
  <w:p>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B92DEA"/>
    <w:multiLevelType w:val="multilevel"/>
    <w:tmpl w:val="0DB92DEA"/>
    <w:lvl w:ilvl="0" w:tentative="0">
      <w:start w:val="1"/>
      <w:numFmt w:val="decimal"/>
      <w:suff w:val="space"/>
      <w:lvlText w:val="第%1章"/>
      <w:lvlJc w:val="left"/>
      <w:pPr>
        <w:ind w:left="0" w:firstLine="0"/>
      </w:pPr>
      <w:rPr>
        <w:rFonts w:hint="eastAsia"/>
      </w:rPr>
    </w:lvl>
    <w:lvl w:ilvl="1" w:tentative="0">
      <w:start w:val="1"/>
      <w:numFmt w:val="decimal"/>
      <w:suff w:val="space"/>
      <w:lvlText w:val="%1.%2"/>
      <w:lvlJc w:val="left"/>
      <w:pPr>
        <w:ind w:left="425" w:hanging="425"/>
      </w:pPr>
      <w:rPr>
        <w:rFonts w:hint="default" w:ascii="Calibri" w:hAnsi="Calibri" w:cs="Calibri"/>
        <w:sz w:val="32"/>
        <w:szCs w:val="32"/>
      </w:rPr>
    </w:lvl>
    <w:lvl w:ilvl="2" w:tentative="0">
      <w:start w:val="1"/>
      <w:numFmt w:val="decimal"/>
      <w:pStyle w:val="8"/>
      <w:suff w:val="space"/>
      <w:lvlText w:val="%1.%2.%3"/>
      <w:lvlJc w:val="left"/>
      <w:pPr>
        <w:ind w:left="567" w:hanging="567"/>
      </w:pPr>
      <w:rPr>
        <w:rFonts w:hint="eastAsia"/>
      </w:rPr>
    </w:lvl>
    <w:lvl w:ilvl="3" w:tentative="0">
      <w:start w:val="1"/>
      <w:numFmt w:val="decimal"/>
      <w:suff w:val="space"/>
      <w:lvlText w:val="%1.%2.%3.%4"/>
      <w:lvlJc w:val="left"/>
      <w:pPr>
        <w:ind w:left="1418" w:hanging="567"/>
      </w:pPr>
      <w:rPr>
        <w:rFonts w:hint="eastAsia"/>
        <w:b/>
      </w:rPr>
    </w:lvl>
    <w:lvl w:ilvl="4" w:tentative="0">
      <w:start w:val="1"/>
      <w:numFmt w:val="decimal"/>
      <w:suff w:val="space"/>
      <w:lvlText w:val="%1.%2.%3.%4.%5"/>
      <w:lvlJc w:val="left"/>
      <w:pPr>
        <w:ind w:left="2835" w:hanging="709"/>
      </w:pPr>
      <w:rPr>
        <w:rFonts w:hint="eastAsia"/>
      </w:rPr>
    </w:lvl>
    <w:lvl w:ilvl="5" w:tentative="0">
      <w:start w:val="1"/>
      <w:numFmt w:val="decimal"/>
      <w:suff w:val="space"/>
      <w:lvlText w:val="%1.%2.%3.%4.%5.%6"/>
      <w:lvlJc w:val="left"/>
      <w:pPr>
        <w:ind w:left="2693" w:hanging="992"/>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379D1BAB"/>
    <w:multiLevelType w:val="singleLevel"/>
    <w:tmpl w:val="379D1BAB"/>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0693905"/>
    <w:rsid w:val="007B3DAF"/>
    <w:rsid w:val="00DB72B2"/>
    <w:rsid w:val="00ED266B"/>
    <w:rsid w:val="00F43426"/>
    <w:rsid w:val="00F72ABE"/>
    <w:rsid w:val="010F4C60"/>
    <w:rsid w:val="01E3771F"/>
    <w:rsid w:val="024F1167"/>
    <w:rsid w:val="027A5C11"/>
    <w:rsid w:val="02B74B3F"/>
    <w:rsid w:val="03124185"/>
    <w:rsid w:val="03314A7D"/>
    <w:rsid w:val="03833B24"/>
    <w:rsid w:val="03971E0B"/>
    <w:rsid w:val="03BF4DF3"/>
    <w:rsid w:val="04476F14"/>
    <w:rsid w:val="0458744E"/>
    <w:rsid w:val="048F4524"/>
    <w:rsid w:val="050D203E"/>
    <w:rsid w:val="050F7AD6"/>
    <w:rsid w:val="0515091E"/>
    <w:rsid w:val="056F513E"/>
    <w:rsid w:val="05F12FC1"/>
    <w:rsid w:val="06276BA1"/>
    <w:rsid w:val="062B104D"/>
    <w:rsid w:val="071E0BD8"/>
    <w:rsid w:val="071E5396"/>
    <w:rsid w:val="07252F75"/>
    <w:rsid w:val="07511AB9"/>
    <w:rsid w:val="077168B6"/>
    <w:rsid w:val="07760118"/>
    <w:rsid w:val="07DD4098"/>
    <w:rsid w:val="08151499"/>
    <w:rsid w:val="08193D3A"/>
    <w:rsid w:val="085F30D4"/>
    <w:rsid w:val="0872572E"/>
    <w:rsid w:val="0875081F"/>
    <w:rsid w:val="08870786"/>
    <w:rsid w:val="08F215E2"/>
    <w:rsid w:val="09296E07"/>
    <w:rsid w:val="096E7497"/>
    <w:rsid w:val="09B01C49"/>
    <w:rsid w:val="09E31136"/>
    <w:rsid w:val="09EB1CAA"/>
    <w:rsid w:val="0A165B13"/>
    <w:rsid w:val="0A226B2B"/>
    <w:rsid w:val="0A7372D5"/>
    <w:rsid w:val="0AAD3E63"/>
    <w:rsid w:val="0ABE51AD"/>
    <w:rsid w:val="0B063520"/>
    <w:rsid w:val="0B2B563D"/>
    <w:rsid w:val="0B59105B"/>
    <w:rsid w:val="0BED6A15"/>
    <w:rsid w:val="0C1A06B5"/>
    <w:rsid w:val="0C361B65"/>
    <w:rsid w:val="0C3B40FC"/>
    <w:rsid w:val="0CE5132C"/>
    <w:rsid w:val="0D0518EE"/>
    <w:rsid w:val="0D086F79"/>
    <w:rsid w:val="0D444194"/>
    <w:rsid w:val="0D4B347F"/>
    <w:rsid w:val="0D570C8A"/>
    <w:rsid w:val="0DDC4A26"/>
    <w:rsid w:val="0E04283D"/>
    <w:rsid w:val="0F033D06"/>
    <w:rsid w:val="0F9C26D4"/>
    <w:rsid w:val="10146BF1"/>
    <w:rsid w:val="104F6DAF"/>
    <w:rsid w:val="107D501B"/>
    <w:rsid w:val="10B27CAD"/>
    <w:rsid w:val="11273C0B"/>
    <w:rsid w:val="115D74E2"/>
    <w:rsid w:val="1174748E"/>
    <w:rsid w:val="11915D99"/>
    <w:rsid w:val="11EC7CB4"/>
    <w:rsid w:val="120C44D2"/>
    <w:rsid w:val="121C34B5"/>
    <w:rsid w:val="122956EF"/>
    <w:rsid w:val="125C12A9"/>
    <w:rsid w:val="12F70B0D"/>
    <w:rsid w:val="130F1D4C"/>
    <w:rsid w:val="134C3D0E"/>
    <w:rsid w:val="138C3317"/>
    <w:rsid w:val="13A84DED"/>
    <w:rsid w:val="13B66175"/>
    <w:rsid w:val="13ED22A6"/>
    <w:rsid w:val="13FB79B0"/>
    <w:rsid w:val="14013214"/>
    <w:rsid w:val="140B4438"/>
    <w:rsid w:val="14496629"/>
    <w:rsid w:val="148F4F8E"/>
    <w:rsid w:val="1492636B"/>
    <w:rsid w:val="14A062F4"/>
    <w:rsid w:val="154636A6"/>
    <w:rsid w:val="163D703F"/>
    <w:rsid w:val="16D67ED2"/>
    <w:rsid w:val="16E26F0E"/>
    <w:rsid w:val="16F02E90"/>
    <w:rsid w:val="17062B69"/>
    <w:rsid w:val="175C0D34"/>
    <w:rsid w:val="17961FEA"/>
    <w:rsid w:val="17F81885"/>
    <w:rsid w:val="182164BB"/>
    <w:rsid w:val="18252AF6"/>
    <w:rsid w:val="188972CF"/>
    <w:rsid w:val="18B95C0D"/>
    <w:rsid w:val="18D068A4"/>
    <w:rsid w:val="18EC7DF4"/>
    <w:rsid w:val="19122210"/>
    <w:rsid w:val="194A1301"/>
    <w:rsid w:val="195576C8"/>
    <w:rsid w:val="19BB3A05"/>
    <w:rsid w:val="19CA1922"/>
    <w:rsid w:val="19CA6AEA"/>
    <w:rsid w:val="1A4A1F1B"/>
    <w:rsid w:val="1AB22DB0"/>
    <w:rsid w:val="1ABC3B36"/>
    <w:rsid w:val="1ADB6CEB"/>
    <w:rsid w:val="1B04548A"/>
    <w:rsid w:val="1B3A1DD3"/>
    <w:rsid w:val="1BEE6C7E"/>
    <w:rsid w:val="1C4D73A6"/>
    <w:rsid w:val="1C7B7059"/>
    <w:rsid w:val="1C984EA9"/>
    <w:rsid w:val="1CF54D0D"/>
    <w:rsid w:val="1D173593"/>
    <w:rsid w:val="1D5510E6"/>
    <w:rsid w:val="1D8927A9"/>
    <w:rsid w:val="1D8A0989"/>
    <w:rsid w:val="1DAA697C"/>
    <w:rsid w:val="1DBC259A"/>
    <w:rsid w:val="1DFA356D"/>
    <w:rsid w:val="1DFC4614"/>
    <w:rsid w:val="1E57661E"/>
    <w:rsid w:val="1E8D2F4B"/>
    <w:rsid w:val="1ECA6098"/>
    <w:rsid w:val="1F5A25AA"/>
    <w:rsid w:val="1F87166B"/>
    <w:rsid w:val="1FE4312C"/>
    <w:rsid w:val="20093412"/>
    <w:rsid w:val="20221AB6"/>
    <w:rsid w:val="20641CD2"/>
    <w:rsid w:val="206D5617"/>
    <w:rsid w:val="207E2925"/>
    <w:rsid w:val="209C2F82"/>
    <w:rsid w:val="20D87DD3"/>
    <w:rsid w:val="21333CB9"/>
    <w:rsid w:val="215B5EE3"/>
    <w:rsid w:val="2170552A"/>
    <w:rsid w:val="21725EAA"/>
    <w:rsid w:val="21BD1856"/>
    <w:rsid w:val="21F775B6"/>
    <w:rsid w:val="21FE778F"/>
    <w:rsid w:val="22035D26"/>
    <w:rsid w:val="222511D3"/>
    <w:rsid w:val="222A7E1E"/>
    <w:rsid w:val="22A33E3D"/>
    <w:rsid w:val="23C53F61"/>
    <w:rsid w:val="24AF1061"/>
    <w:rsid w:val="2528193B"/>
    <w:rsid w:val="25444A65"/>
    <w:rsid w:val="255B2849"/>
    <w:rsid w:val="264941D1"/>
    <w:rsid w:val="26703415"/>
    <w:rsid w:val="268F7A4C"/>
    <w:rsid w:val="26A21C12"/>
    <w:rsid w:val="26B137CD"/>
    <w:rsid w:val="26E32CAC"/>
    <w:rsid w:val="27416481"/>
    <w:rsid w:val="27512300"/>
    <w:rsid w:val="27556201"/>
    <w:rsid w:val="276F23A0"/>
    <w:rsid w:val="277F67AF"/>
    <w:rsid w:val="27C231BC"/>
    <w:rsid w:val="280C386E"/>
    <w:rsid w:val="283C5AAF"/>
    <w:rsid w:val="28AC6FA1"/>
    <w:rsid w:val="28AD7F2A"/>
    <w:rsid w:val="290772D8"/>
    <w:rsid w:val="29526A59"/>
    <w:rsid w:val="29991719"/>
    <w:rsid w:val="29DB75AB"/>
    <w:rsid w:val="2A0F693C"/>
    <w:rsid w:val="2A4B79CF"/>
    <w:rsid w:val="2A583BDC"/>
    <w:rsid w:val="2B0C4BC4"/>
    <w:rsid w:val="2B846F6E"/>
    <w:rsid w:val="2BDE2DFD"/>
    <w:rsid w:val="2C1F26D0"/>
    <w:rsid w:val="2C3D292E"/>
    <w:rsid w:val="2C477944"/>
    <w:rsid w:val="2C681735"/>
    <w:rsid w:val="2CB46FDB"/>
    <w:rsid w:val="2CDD7B70"/>
    <w:rsid w:val="2DA54E89"/>
    <w:rsid w:val="2DFB27B7"/>
    <w:rsid w:val="2E2A0988"/>
    <w:rsid w:val="2EA773C5"/>
    <w:rsid w:val="2ED42FAB"/>
    <w:rsid w:val="2F366741"/>
    <w:rsid w:val="31CE1739"/>
    <w:rsid w:val="325B5177"/>
    <w:rsid w:val="32625B19"/>
    <w:rsid w:val="32F96D37"/>
    <w:rsid w:val="32FA5B66"/>
    <w:rsid w:val="33077788"/>
    <w:rsid w:val="33672B89"/>
    <w:rsid w:val="33803AE5"/>
    <w:rsid w:val="33DA419B"/>
    <w:rsid w:val="33E7097A"/>
    <w:rsid w:val="340D5819"/>
    <w:rsid w:val="34823E1A"/>
    <w:rsid w:val="34C2320E"/>
    <w:rsid w:val="34FD6C4E"/>
    <w:rsid w:val="35027C4E"/>
    <w:rsid w:val="351F01B0"/>
    <w:rsid w:val="357F7BE6"/>
    <w:rsid w:val="359E5DA6"/>
    <w:rsid w:val="35E05158"/>
    <w:rsid w:val="35FD6528"/>
    <w:rsid w:val="3603329E"/>
    <w:rsid w:val="36292E46"/>
    <w:rsid w:val="36721D93"/>
    <w:rsid w:val="36C67F48"/>
    <w:rsid w:val="36FE6ED4"/>
    <w:rsid w:val="370C0EF6"/>
    <w:rsid w:val="370E2444"/>
    <w:rsid w:val="37A03B9A"/>
    <w:rsid w:val="37DF01D1"/>
    <w:rsid w:val="38871868"/>
    <w:rsid w:val="38C773A4"/>
    <w:rsid w:val="38D65753"/>
    <w:rsid w:val="39021D3D"/>
    <w:rsid w:val="390B0FEA"/>
    <w:rsid w:val="39245C50"/>
    <w:rsid w:val="393D31FD"/>
    <w:rsid w:val="395C4DB9"/>
    <w:rsid w:val="39622AB9"/>
    <w:rsid w:val="39824704"/>
    <w:rsid w:val="39A15878"/>
    <w:rsid w:val="39AD5135"/>
    <w:rsid w:val="39E42632"/>
    <w:rsid w:val="39F545FE"/>
    <w:rsid w:val="3A730B2A"/>
    <w:rsid w:val="3A762773"/>
    <w:rsid w:val="3A7733B5"/>
    <w:rsid w:val="3A8F42DA"/>
    <w:rsid w:val="3ACC739E"/>
    <w:rsid w:val="3AF251B7"/>
    <w:rsid w:val="3AFD3559"/>
    <w:rsid w:val="3B085560"/>
    <w:rsid w:val="3B1825C5"/>
    <w:rsid w:val="3B320E51"/>
    <w:rsid w:val="3B336303"/>
    <w:rsid w:val="3B8023A1"/>
    <w:rsid w:val="3B8519B2"/>
    <w:rsid w:val="3B874061"/>
    <w:rsid w:val="3C676135"/>
    <w:rsid w:val="3CB60938"/>
    <w:rsid w:val="3CEC76B7"/>
    <w:rsid w:val="3CF32ED1"/>
    <w:rsid w:val="3D0E3869"/>
    <w:rsid w:val="3D372831"/>
    <w:rsid w:val="3D586B1B"/>
    <w:rsid w:val="3E200911"/>
    <w:rsid w:val="3E4A08B3"/>
    <w:rsid w:val="3EB82705"/>
    <w:rsid w:val="3EC5675F"/>
    <w:rsid w:val="3F767015"/>
    <w:rsid w:val="3FA7773D"/>
    <w:rsid w:val="40543EF5"/>
    <w:rsid w:val="40596711"/>
    <w:rsid w:val="405F7DF3"/>
    <w:rsid w:val="408A5C74"/>
    <w:rsid w:val="40CC02CC"/>
    <w:rsid w:val="40D031F2"/>
    <w:rsid w:val="40D83E9F"/>
    <w:rsid w:val="40E4142D"/>
    <w:rsid w:val="40F362A8"/>
    <w:rsid w:val="41736CE5"/>
    <w:rsid w:val="41982DB7"/>
    <w:rsid w:val="419D4385"/>
    <w:rsid w:val="420F0402"/>
    <w:rsid w:val="42261EF7"/>
    <w:rsid w:val="43126C97"/>
    <w:rsid w:val="431E0008"/>
    <w:rsid w:val="434D13B2"/>
    <w:rsid w:val="437753D5"/>
    <w:rsid w:val="43B70C81"/>
    <w:rsid w:val="44292AD4"/>
    <w:rsid w:val="4469254F"/>
    <w:rsid w:val="44B27C2A"/>
    <w:rsid w:val="451A3510"/>
    <w:rsid w:val="45394FD3"/>
    <w:rsid w:val="46300AAA"/>
    <w:rsid w:val="463E3A7E"/>
    <w:rsid w:val="469B1CAE"/>
    <w:rsid w:val="46AE5FF3"/>
    <w:rsid w:val="47192EA5"/>
    <w:rsid w:val="474D75E2"/>
    <w:rsid w:val="48150E11"/>
    <w:rsid w:val="48212EC4"/>
    <w:rsid w:val="4862186A"/>
    <w:rsid w:val="48A91119"/>
    <w:rsid w:val="48B614A6"/>
    <w:rsid w:val="48CB5056"/>
    <w:rsid w:val="49370AB5"/>
    <w:rsid w:val="4A034D39"/>
    <w:rsid w:val="4A0C4B1D"/>
    <w:rsid w:val="4A4225F1"/>
    <w:rsid w:val="4A4B4888"/>
    <w:rsid w:val="4B031B7A"/>
    <w:rsid w:val="4BA4167F"/>
    <w:rsid w:val="4BF806A6"/>
    <w:rsid w:val="4C540BEC"/>
    <w:rsid w:val="4C6427BD"/>
    <w:rsid w:val="4C8D6CF7"/>
    <w:rsid w:val="4CE66527"/>
    <w:rsid w:val="4D221E11"/>
    <w:rsid w:val="4D271D07"/>
    <w:rsid w:val="4D330489"/>
    <w:rsid w:val="4D4D6563"/>
    <w:rsid w:val="4D7719FF"/>
    <w:rsid w:val="4DC95573"/>
    <w:rsid w:val="4E230FE8"/>
    <w:rsid w:val="4E3C6E2B"/>
    <w:rsid w:val="4E3E4E22"/>
    <w:rsid w:val="4E4832CD"/>
    <w:rsid w:val="4E835676"/>
    <w:rsid w:val="4F0F48AA"/>
    <w:rsid w:val="4F8326B0"/>
    <w:rsid w:val="4FB9214A"/>
    <w:rsid w:val="4FC5339D"/>
    <w:rsid w:val="4FC66683"/>
    <w:rsid w:val="4FCE6C6A"/>
    <w:rsid w:val="4FD23DCD"/>
    <w:rsid w:val="4FE20E43"/>
    <w:rsid w:val="500B41C6"/>
    <w:rsid w:val="50243E54"/>
    <w:rsid w:val="50425DAA"/>
    <w:rsid w:val="50A713CB"/>
    <w:rsid w:val="513405CC"/>
    <w:rsid w:val="513813F3"/>
    <w:rsid w:val="515A41FC"/>
    <w:rsid w:val="517921CD"/>
    <w:rsid w:val="519B1D3C"/>
    <w:rsid w:val="52373E34"/>
    <w:rsid w:val="524D2A61"/>
    <w:rsid w:val="527E73EA"/>
    <w:rsid w:val="52802927"/>
    <w:rsid w:val="528E5686"/>
    <w:rsid w:val="535447A4"/>
    <w:rsid w:val="53604C26"/>
    <w:rsid w:val="543904D4"/>
    <w:rsid w:val="54431A0E"/>
    <w:rsid w:val="54552B6D"/>
    <w:rsid w:val="54914C1C"/>
    <w:rsid w:val="54D44AC7"/>
    <w:rsid w:val="54FF0498"/>
    <w:rsid w:val="553F67DC"/>
    <w:rsid w:val="55CE15C1"/>
    <w:rsid w:val="56112655"/>
    <w:rsid w:val="564B5EE6"/>
    <w:rsid w:val="56A42262"/>
    <w:rsid w:val="56B90A6D"/>
    <w:rsid w:val="5711455E"/>
    <w:rsid w:val="57134D7D"/>
    <w:rsid w:val="573A638F"/>
    <w:rsid w:val="57644048"/>
    <w:rsid w:val="57802FAE"/>
    <w:rsid w:val="57B9702B"/>
    <w:rsid w:val="57D07126"/>
    <w:rsid w:val="58260B9B"/>
    <w:rsid w:val="58500DD6"/>
    <w:rsid w:val="5855243C"/>
    <w:rsid w:val="585D3DF0"/>
    <w:rsid w:val="58746F33"/>
    <w:rsid w:val="58CF6491"/>
    <w:rsid w:val="58D108AE"/>
    <w:rsid w:val="58D25A73"/>
    <w:rsid w:val="58D54B9A"/>
    <w:rsid w:val="593C5129"/>
    <w:rsid w:val="59BE02C8"/>
    <w:rsid w:val="59D624CA"/>
    <w:rsid w:val="5A493ED1"/>
    <w:rsid w:val="5A4A3433"/>
    <w:rsid w:val="5AA804F6"/>
    <w:rsid w:val="5B0B47FB"/>
    <w:rsid w:val="5B4B0AC3"/>
    <w:rsid w:val="5B4F64F7"/>
    <w:rsid w:val="5CA0213D"/>
    <w:rsid w:val="5D156FA2"/>
    <w:rsid w:val="5D551BFA"/>
    <w:rsid w:val="5D595304"/>
    <w:rsid w:val="5D6E0C63"/>
    <w:rsid w:val="5DC900D8"/>
    <w:rsid w:val="5DE977F8"/>
    <w:rsid w:val="5F0F1DD3"/>
    <w:rsid w:val="5F207068"/>
    <w:rsid w:val="5F5627CC"/>
    <w:rsid w:val="5F760B65"/>
    <w:rsid w:val="5FA27792"/>
    <w:rsid w:val="5FF35C58"/>
    <w:rsid w:val="60364859"/>
    <w:rsid w:val="603C0D48"/>
    <w:rsid w:val="605F13F0"/>
    <w:rsid w:val="608A1A55"/>
    <w:rsid w:val="60A1719B"/>
    <w:rsid w:val="60E107EC"/>
    <w:rsid w:val="60E35500"/>
    <w:rsid w:val="6121278F"/>
    <w:rsid w:val="612625AA"/>
    <w:rsid w:val="6148542E"/>
    <w:rsid w:val="61817E3C"/>
    <w:rsid w:val="620F6776"/>
    <w:rsid w:val="62367E65"/>
    <w:rsid w:val="624038C5"/>
    <w:rsid w:val="625203DA"/>
    <w:rsid w:val="625A0EC2"/>
    <w:rsid w:val="6265623A"/>
    <w:rsid w:val="628F111D"/>
    <w:rsid w:val="629E1DFA"/>
    <w:rsid w:val="62A86D2A"/>
    <w:rsid w:val="62B23D75"/>
    <w:rsid w:val="62E0271D"/>
    <w:rsid w:val="62EB5301"/>
    <w:rsid w:val="632C14AF"/>
    <w:rsid w:val="6376327D"/>
    <w:rsid w:val="63E65CAD"/>
    <w:rsid w:val="644205E4"/>
    <w:rsid w:val="644D1DFE"/>
    <w:rsid w:val="65364107"/>
    <w:rsid w:val="65DC4836"/>
    <w:rsid w:val="65DF3879"/>
    <w:rsid w:val="661357A0"/>
    <w:rsid w:val="663917B9"/>
    <w:rsid w:val="663D1963"/>
    <w:rsid w:val="667A086C"/>
    <w:rsid w:val="66F23DA0"/>
    <w:rsid w:val="67591F27"/>
    <w:rsid w:val="67BF5964"/>
    <w:rsid w:val="67ED0162"/>
    <w:rsid w:val="680C1D11"/>
    <w:rsid w:val="68675294"/>
    <w:rsid w:val="688A2780"/>
    <w:rsid w:val="689E3E83"/>
    <w:rsid w:val="68ED24C0"/>
    <w:rsid w:val="691F79AD"/>
    <w:rsid w:val="698334C9"/>
    <w:rsid w:val="6A1C1366"/>
    <w:rsid w:val="6AEB0406"/>
    <w:rsid w:val="6B1662A0"/>
    <w:rsid w:val="6B324C90"/>
    <w:rsid w:val="6B4B18E1"/>
    <w:rsid w:val="6BDD3E6C"/>
    <w:rsid w:val="6C075B40"/>
    <w:rsid w:val="6C9A762A"/>
    <w:rsid w:val="6CC64A9C"/>
    <w:rsid w:val="6D3D73A6"/>
    <w:rsid w:val="6DB55520"/>
    <w:rsid w:val="6DF50BC4"/>
    <w:rsid w:val="6E0E5E11"/>
    <w:rsid w:val="6E32632A"/>
    <w:rsid w:val="6E42063C"/>
    <w:rsid w:val="6E7B0286"/>
    <w:rsid w:val="6E83674B"/>
    <w:rsid w:val="6EFB2E83"/>
    <w:rsid w:val="6F81410E"/>
    <w:rsid w:val="6FB920DF"/>
    <w:rsid w:val="6FCA1424"/>
    <w:rsid w:val="70222ADB"/>
    <w:rsid w:val="70323211"/>
    <w:rsid w:val="71277622"/>
    <w:rsid w:val="716B506C"/>
    <w:rsid w:val="71805FEF"/>
    <w:rsid w:val="71840341"/>
    <w:rsid w:val="71C8773D"/>
    <w:rsid w:val="71E940A1"/>
    <w:rsid w:val="7263165D"/>
    <w:rsid w:val="72F8265E"/>
    <w:rsid w:val="73235F29"/>
    <w:rsid w:val="73A823EF"/>
    <w:rsid w:val="74775FC0"/>
    <w:rsid w:val="749414A1"/>
    <w:rsid w:val="75D37D0F"/>
    <w:rsid w:val="76084588"/>
    <w:rsid w:val="765D0B30"/>
    <w:rsid w:val="76890FEF"/>
    <w:rsid w:val="76B83908"/>
    <w:rsid w:val="76EA4765"/>
    <w:rsid w:val="77197ED0"/>
    <w:rsid w:val="77392219"/>
    <w:rsid w:val="77AB14FD"/>
    <w:rsid w:val="785D08BC"/>
    <w:rsid w:val="78624DA5"/>
    <w:rsid w:val="78773C75"/>
    <w:rsid w:val="78AB0C68"/>
    <w:rsid w:val="78E328E5"/>
    <w:rsid w:val="79046A88"/>
    <w:rsid w:val="79130FEA"/>
    <w:rsid w:val="79662E86"/>
    <w:rsid w:val="79EA0D2A"/>
    <w:rsid w:val="7A2141E3"/>
    <w:rsid w:val="7A33156C"/>
    <w:rsid w:val="7AC27882"/>
    <w:rsid w:val="7AF83AAC"/>
    <w:rsid w:val="7B011597"/>
    <w:rsid w:val="7B0638C4"/>
    <w:rsid w:val="7B0924ED"/>
    <w:rsid w:val="7B1806EE"/>
    <w:rsid w:val="7B2075DD"/>
    <w:rsid w:val="7B2A00C7"/>
    <w:rsid w:val="7B5D5082"/>
    <w:rsid w:val="7BD16A01"/>
    <w:rsid w:val="7BD2750A"/>
    <w:rsid w:val="7C3F1BA4"/>
    <w:rsid w:val="7CAA70EF"/>
    <w:rsid w:val="7CD32026"/>
    <w:rsid w:val="7CEB71BA"/>
    <w:rsid w:val="7D9C7A9A"/>
    <w:rsid w:val="7DD06F88"/>
    <w:rsid w:val="7DE85FE7"/>
    <w:rsid w:val="7ED21CB4"/>
    <w:rsid w:val="7EF239C6"/>
    <w:rsid w:val="7F806CD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qFormat="1" w:uiPriority="99"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6">
    <w:name w:val="heading 2"/>
    <w:basedOn w:val="1"/>
    <w:next w:val="7"/>
    <w:qFormat/>
    <w:uiPriority w:val="0"/>
    <w:pPr>
      <w:keepNext/>
      <w:adjustRightInd w:val="0"/>
      <w:snapToGrid w:val="0"/>
      <w:spacing w:line="400" w:lineRule="atLeast"/>
      <w:ind w:right="48"/>
      <w:jc w:val="center"/>
      <w:textAlignment w:val="baseline"/>
      <w:outlineLvl w:val="1"/>
    </w:pPr>
    <w:rPr>
      <w:rFonts w:ascii="MingLiU" w:eastAsia="MingLiU"/>
      <w:kern w:val="0"/>
      <w:sz w:val="28"/>
    </w:rPr>
  </w:style>
  <w:style w:type="paragraph" w:styleId="8">
    <w:name w:val="heading 3"/>
    <w:basedOn w:val="9"/>
    <w:next w:val="9"/>
    <w:qFormat/>
    <w:uiPriority w:val="0"/>
    <w:pPr>
      <w:keepNext/>
      <w:keepLines/>
      <w:numPr>
        <w:ilvl w:val="2"/>
        <w:numId w:val="1"/>
      </w:numPr>
      <w:spacing w:before="260" w:after="260" w:line="416" w:lineRule="auto"/>
      <w:ind w:leftChars="0"/>
      <w:outlineLvl w:val="2"/>
    </w:pPr>
    <w:rPr>
      <w:b/>
      <w:bCs/>
      <w:kern w:val="0"/>
      <w:sz w:val="30"/>
      <w:szCs w:val="32"/>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rPr>
      <w:rFonts w:ascii="宋体" w:hAnsi="宋体" w:eastAsia="宋体" w:cs="宋体"/>
      <w:sz w:val="24"/>
      <w:szCs w:val="24"/>
    </w:rPr>
  </w:style>
  <w:style w:type="paragraph" w:customStyle="1" w:styleId="3">
    <w:name w:val="一级条标题"/>
    <w:basedOn w:val="4"/>
    <w:next w:val="5"/>
    <w:qFormat/>
    <w:uiPriority w:val="0"/>
    <w:pPr>
      <w:spacing w:line="240" w:lineRule="auto"/>
      <w:ind w:left="420"/>
      <w:outlineLvl w:val="2"/>
    </w:pPr>
  </w:style>
  <w:style w:type="paragraph" w:customStyle="1" w:styleId="4">
    <w:name w:val="章标题"/>
    <w:next w:val="1"/>
    <w:qFormat/>
    <w:uiPriority w:val="0"/>
    <w:pPr>
      <w:spacing w:line="360" w:lineRule="auto"/>
      <w:jc w:val="both"/>
      <w:outlineLvl w:val="1"/>
    </w:pPr>
    <w:rPr>
      <w:rFonts w:ascii="黑体" w:hAnsi="Times New Roman" w:eastAsia="黑体" w:cs="黑体"/>
      <w:sz w:val="21"/>
      <w:szCs w:val="21"/>
      <w:lang w:val="en-US" w:eastAsia="zh-CN" w:bidi="ar-SA"/>
    </w:rPr>
  </w:style>
  <w:style w:type="paragraph" w:customStyle="1" w:styleId="5">
    <w:name w:val="段"/>
    <w:next w:val="1"/>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paragraph" w:styleId="7">
    <w:name w:val="Normal Indent"/>
    <w:basedOn w:val="1"/>
    <w:qFormat/>
    <w:uiPriority w:val="0"/>
    <w:pPr>
      <w:adjustRightInd w:val="0"/>
      <w:spacing w:line="360" w:lineRule="atLeast"/>
      <w:ind w:left="480"/>
      <w:textAlignment w:val="baseline"/>
    </w:pPr>
    <w:rPr>
      <w:kern w:val="0"/>
    </w:rPr>
  </w:style>
  <w:style w:type="paragraph" w:styleId="9">
    <w:name w:val="Block Text"/>
    <w:basedOn w:val="1"/>
    <w:unhideWhenUsed/>
    <w:qFormat/>
    <w:uiPriority w:val="99"/>
    <w:pPr>
      <w:spacing w:after="120" w:afterLines="0" w:afterAutospacing="0"/>
      <w:ind w:left="1440" w:leftChars="700" w:rightChars="700"/>
    </w:pPr>
  </w:style>
  <w:style w:type="paragraph" w:styleId="10">
    <w:name w:val="Body Text Indent"/>
    <w:basedOn w:val="1"/>
    <w:next w:val="11"/>
    <w:semiHidden/>
    <w:unhideWhenUsed/>
    <w:qFormat/>
    <w:uiPriority w:val="99"/>
    <w:pPr>
      <w:spacing w:after="120"/>
      <w:ind w:left="420" w:leftChars="200"/>
    </w:pPr>
  </w:style>
  <w:style w:type="paragraph" w:styleId="11">
    <w:name w:val="envelope return"/>
    <w:basedOn w:val="1"/>
    <w:qFormat/>
    <w:uiPriority w:val="0"/>
    <w:pPr>
      <w:snapToGrid w:val="0"/>
    </w:pPr>
    <w:rPr>
      <w:rFonts w:ascii="Arial" w:hAnsi="Arial"/>
    </w:rPr>
  </w:style>
  <w:style w:type="paragraph" w:styleId="12">
    <w:name w:val="Plain Text"/>
    <w:basedOn w:val="1"/>
    <w:qFormat/>
    <w:uiPriority w:val="0"/>
    <w:rPr>
      <w:rFonts w:ascii="宋体" w:hAnsi="Courier New" w:eastAsiaTheme="minorEastAsia" w:cstheme="minorBidi"/>
    </w:rPr>
  </w:style>
  <w:style w:type="paragraph" w:styleId="13">
    <w:name w:val="Balloon Text"/>
    <w:basedOn w:val="1"/>
    <w:link w:val="25"/>
    <w:semiHidden/>
    <w:unhideWhenUsed/>
    <w:qFormat/>
    <w:uiPriority w:val="99"/>
    <w:rPr>
      <w:sz w:val="18"/>
      <w:szCs w:val="18"/>
    </w:rPr>
  </w:style>
  <w:style w:type="paragraph" w:styleId="14">
    <w:name w:val="footer"/>
    <w:basedOn w:val="1"/>
    <w:link w:val="24"/>
    <w:unhideWhenUsed/>
    <w:qFormat/>
    <w:uiPriority w:val="99"/>
    <w:pPr>
      <w:tabs>
        <w:tab w:val="center" w:pos="4153"/>
        <w:tab w:val="right" w:pos="8306"/>
      </w:tabs>
      <w:snapToGrid w:val="0"/>
      <w:jc w:val="left"/>
    </w:pPr>
    <w:rPr>
      <w:sz w:val="18"/>
      <w:szCs w:val="18"/>
    </w:rPr>
  </w:style>
  <w:style w:type="paragraph" w:styleId="15">
    <w:name w:val="header"/>
    <w:basedOn w:val="1"/>
    <w:link w:val="23"/>
    <w:unhideWhenUsed/>
    <w:qFormat/>
    <w:uiPriority w:val="0"/>
    <w:pPr>
      <w:pBdr>
        <w:bottom w:val="single" w:color="auto" w:sz="6" w:space="1"/>
      </w:pBdr>
      <w:tabs>
        <w:tab w:val="center" w:pos="4153"/>
        <w:tab w:val="right" w:pos="8306"/>
      </w:tabs>
      <w:snapToGrid w:val="0"/>
      <w:jc w:val="center"/>
    </w:pPr>
    <w:rPr>
      <w:sz w:val="18"/>
      <w:szCs w:val="18"/>
    </w:rPr>
  </w:style>
  <w:style w:type="paragraph" w:styleId="16">
    <w:name w:val="Body Text 2"/>
    <w:basedOn w:val="1"/>
    <w:qFormat/>
    <w:uiPriority w:val="0"/>
    <w:pPr>
      <w:spacing w:after="120" w:line="480" w:lineRule="auto"/>
    </w:pPr>
    <w:rPr>
      <w:rFonts w:asciiTheme="minorHAnsi" w:hAnsiTheme="minorHAnsi" w:eastAsiaTheme="minorEastAsia" w:cstheme="minorBidi"/>
    </w:rPr>
  </w:style>
  <w:style w:type="paragraph" w:styleId="17">
    <w:name w:val="Body Text First Indent"/>
    <w:basedOn w:val="2"/>
    <w:unhideWhenUsed/>
    <w:qFormat/>
    <w:uiPriority w:val="99"/>
    <w:pPr>
      <w:spacing w:before="100" w:beforeAutospacing="1"/>
      <w:ind w:firstLine="420" w:firstLineChars="100"/>
    </w:pPr>
  </w:style>
  <w:style w:type="paragraph" w:styleId="18">
    <w:name w:val="Body Text First Indent 2"/>
    <w:basedOn w:val="10"/>
    <w:unhideWhenUsed/>
    <w:qFormat/>
    <w:uiPriority w:val="99"/>
    <w:pPr>
      <w:ind w:firstLine="420" w:firstLineChars="200"/>
    </w:pPr>
    <w:rPr>
      <w:szCs w:val="24"/>
    </w:rPr>
  </w:style>
  <w:style w:type="character" w:styleId="21">
    <w:name w:val="Hyperlink"/>
    <w:qFormat/>
    <w:uiPriority w:val="99"/>
    <w:rPr>
      <w:rFonts w:ascii="Times New Roman" w:hAnsi="Times New Roman" w:eastAsia="宋体"/>
      <w:color w:val="auto"/>
      <w:spacing w:val="0"/>
      <w:w w:val="100"/>
      <w:position w:val="0"/>
      <w:sz w:val="21"/>
      <w:u w:val="none"/>
      <w:vertAlign w:val="baseline"/>
    </w:rPr>
  </w:style>
  <w:style w:type="paragraph" w:customStyle="1" w:styleId="22">
    <w:name w:val="表格文字"/>
    <w:basedOn w:val="1"/>
    <w:qFormat/>
    <w:uiPriority w:val="99"/>
    <w:pPr>
      <w:spacing w:before="25" w:after="25"/>
    </w:pPr>
    <w:rPr>
      <w:bCs/>
      <w:spacing w:val="10"/>
    </w:rPr>
  </w:style>
  <w:style w:type="character" w:customStyle="1" w:styleId="23">
    <w:name w:val="页眉 Char"/>
    <w:basedOn w:val="20"/>
    <w:link w:val="15"/>
    <w:qFormat/>
    <w:uiPriority w:val="99"/>
    <w:rPr>
      <w:rFonts w:ascii="Times New Roman" w:hAnsi="Times New Roman" w:eastAsia="宋体" w:cs="Times New Roman"/>
      <w:sz w:val="18"/>
      <w:szCs w:val="18"/>
    </w:rPr>
  </w:style>
  <w:style w:type="character" w:customStyle="1" w:styleId="24">
    <w:name w:val="页脚 Char"/>
    <w:basedOn w:val="20"/>
    <w:link w:val="14"/>
    <w:qFormat/>
    <w:uiPriority w:val="99"/>
    <w:rPr>
      <w:rFonts w:ascii="Times New Roman" w:hAnsi="Times New Roman" w:eastAsia="宋体" w:cs="Times New Roman"/>
      <w:sz w:val="18"/>
      <w:szCs w:val="18"/>
    </w:rPr>
  </w:style>
  <w:style w:type="character" w:customStyle="1" w:styleId="25">
    <w:name w:val="批注框文本 Char"/>
    <w:basedOn w:val="20"/>
    <w:link w:val="13"/>
    <w:semiHidden/>
    <w:qFormat/>
    <w:uiPriority w:val="99"/>
    <w:rPr>
      <w:rFonts w:ascii="Times New Roman" w:hAnsi="Times New Roman" w:eastAsia="宋体" w:cs="Times New Roman"/>
      <w:sz w:val="18"/>
      <w:szCs w:val="18"/>
    </w:rPr>
  </w:style>
  <w:style w:type="character" w:customStyle="1" w:styleId="26">
    <w:name w:val="Char Char1"/>
    <w:qFormat/>
    <w:locked/>
    <w:uiPriority w:val="0"/>
    <w:rPr>
      <w:rFonts w:hint="eastAsia" w:ascii="宋体" w:hAnsi="Courier New" w:eastAsia="宋体"/>
      <w:kern w:val="2"/>
      <w:sz w:val="21"/>
      <w:lang w:val="en-US" w:eastAsia="zh-CN" w:bidi="ar-SA"/>
    </w:rPr>
  </w:style>
  <w:style w:type="paragraph" w:styleId="27">
    <w:name w:val="List Paragraph"/>
    <w:basedOn w:val="1"/>
    <w:unhideWhenUsed/>
    <w:qFormat/>
    <w:uiPriority w:val="99"/>
    <w:pPr>
      <w:ind w:firstLine="420" w:firstLineChars="200"/>
    </w:pPr>
  </w:style>
  <w:style w:type="paragraph" w:customStyle="1" w:styleId="2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9">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4</TotalTime>
  <ScaleCrop>false</ScaleCrop>
  <LinksUpToDate>false</LinksUpToDate>
  <CharactersWithSpaces>101</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郭力</cp:lastModifiedBy>
  <dcterms:modified xsi:type="dcterms:W3CDTF">2021-04-02T13:43:14Z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96979F66E70F4559936FA02EAA951B5C</vt:lpwstr>
  </property>
</Properties>
</file>