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业务部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方勤荣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周雅玲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Cs w:val="21"/>
              </w:rPr>
              <w:t>林兵、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方小娥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 w:ascii="宋体" w:hAnsi="宋体" w:cs="Arial"/>
                <w:szCs w:val="21"/>
              </w:rPr>
              <w:t>202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Cs w:val="21"/>
              </w:rPr>
              <w:t>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Cs w:val="21"/>
              </w:rPr>
              <w:t xml:space="preserve">日 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6.1应对风险和机遇的措施、</w:t>
            </w:r>
            <w:r>
              <w:rPr>
                <w:rFonts w:hint="eastAsia" w:ascii="宋体" w:hAnsi="宋体" w:cs="Arial"/>
                <w:sz w:val="21"/>
                <w:szCs w:val="21"/>
              </w:rPr>
              <w:t>6.2质量目标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8.2 保洁服务、劳务派遣和劳务分包服务的要求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8.5.5 交付后的活动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9.1.2 顾客满意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EO:6.1.2环境因素/危险源的辨识与评价、</w:t>
            </w:r>
            <w:r>
              <w:rPr>
                <w:rFonts w:hint="eastAsia" w:ascii="宋体" w:hAnsi="宋体" w:cs="Arial"/>
                <w:sz w:val="21"/>
                <w:szCs w:val="21"/>
              </w:rPr>
              <w:t>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EO:5.3</w:t>
            </w:r>
            <w: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业务部职责;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⑴负责与产品和销售服务有关的要求的确定；组织编制合同文件及时与顾客联系等；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⑵负责与产品和销售服务有关的要求的评审等；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⑶负责市场调查，信息收集、销售服务工作等。</w:t>
            </w:r>
          </w:p>
          <w:p>
            <w:pPr>
              <w:spacing w:line="280" w:lineRule="exact"/>
              <w:ind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⑷负责销售服务提供的控制、销售服务质量监督管理及不合格销售服务的控制等；</w:t>
            </w:r>
          </w:p>
          <w:p>
            <w:pPr>
              <w:spacing w:line="280" w:lineRule="exact"/>
              <w:ind w:firstLine="420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⑸负责顾客财产、产品防护等。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质量、</w:t>
            </w:r>
            <w:r>
              <w:rPr>
                <w:rFonts w:hint="eastAsia" w:ascii="宋体" w:hAnsi="宋体" w:cs="Arial"/>
                <w:szCs w:val="21"/>
              </w:rPr>
              <w:t>环境、职业健康安全目标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业务部</w:t>
            </w:r>
            <w:r>
              <w:rPr>
                <w:rFonts w:hint="eastAsia"/>
                <w:color w:val="000000"/>
                <w:szCs w:val="21"/>
                <w:highlight w:val="none"/>
              </w:rPr>
              <w:t>管理目标及实现情况：</w:t>
            </w:r>
          </w:p>
          <w:tbl>
            <w:tblPr>
              <w:tblStyle w:val="7"/>
              <w:tblpPr w:leftFromText="180" w:rightFromText="180" w:vertAnchor="text" w:horzAnchor="page" w:tblpX="567" w:tblpY="92"/>
              <w:tblOverlap w:val="never"/>
              <w:tblW w:w="87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23"/>
              <w:gridCol w:w="4289"/>
              <w:gridCol w:w="13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考核方式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default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考核结果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1合同履约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  <w:t>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履约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合同总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数÷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履约总数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合同评审率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有效投诉处理率＝有效投诉处理数÷顾客有效投诉总数×100%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3.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业主满意度调查按时完成率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eastAsia="zh-CN"/>
                    </w:rPr>
                    <w:t>≥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90%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>满意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>顾客满意分数总数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>每份的分数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highlight w:val="none"/>
                      <w:lang w:val="en-US" w:eastAsia="zh-CN"/>
                    </w:rPr>
                    <w:t xml:space="preserve"> 92%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00" w:lineRule="exact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．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环境、职业健康安全运行检查合格率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≥9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%.</w:t>
                  </w:r>
                </w:p>
              </w:tc>
              <w:tc>
                <w:tcPr>
                  <w:tcW w:w="42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率＝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应回收处理总数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÷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>处理率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</w:rPr>
                    <w:t>×100%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"/>
                    <w:spacing w:before="60" w:beforeLines="15" w:after="60" w:afterLines="15" w:line="0" w:lineRule="atLeast"/>
                    <w:ind w:left="0" w:leftChars="0"/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color w:val="000000"/>
                      <w:sz w:val="20"/>
                      <w:szCs w:val="20"/>
                      <w:lang w:val="en-US" w:eastAsia="zh-CN"/>
                    </w:rPr>
                    <w:t xml:space="preserve"> 100%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</w:rPr>
            </w:pPr>
          </w:p>
          <w:p>
            <w:pPr>
              <w:spacing w:line="280" w:lineRule="exact"/>
              <w:ind w:firstLine="420" w:firstLineChars="20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目标可测量，基本符合部门工作职责，管理目标完成情况：查到20</w:t>
            </w:r>
            <w:r>
              <w:rPr>
                <w:color w:val="000000"/>
                <w:szCs w:val="21"/>
                <w:highlight w:val="none"/>
              </w:rPr>
              <w:t>20</w:t>
            </w:r>
            <w:r>
              <w:rPr>
                <w:rFonts w:hint="eastAsia"/>
                <w:color w:val="000000"/>
                <w:szCs w:val="21"/>
                <w:highlight w:val="none"/>
              </w:rPr>
              <w:t>部门管理目标完成情况。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环境目标、指标/职业健康安全目标与管理方案及实施情况一览表，内容涉及主要措施、责任部门、经费、时间要求、实施情况等。如加强对办公、生产过程固废的管理，合理回收，统一处理。建立固体废弃物处理作业文件，进行相关培训；配置垃圾桶，实施分类存放；一般生活垃圾，由环卫所统一清运；办公区复印机废墨盒、废电池等危险固废，各部门统一交给办公室，在公司封存，定期交有资格处理的单位处理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下脚料及废次品用于出售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查看员工培训记录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2020.08.8质量、环境管理体系文件培训，有针对三级管理文件的培训，三级管理文件《固体废物管理规定》，通过对环境管理体系文件的培训，各岗位人员熟悉了质量、环境管理体系文件的基本内容和各类文件的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信息交流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</w:t>
            </w:r>
            <w:r>
              <w:rPr>
                <w:rFonts w:ascii="宋体" w:hAnsi="宋体" w:cs="Arial"/>
                <w:szCs w:val="21"/>
              </w:rPr>
              <w:t>EO: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7.4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信息沟通控制程序》对日常运行中产生的质量/环境/职业健康安全管理信息，对外、对内的交流途径和处置方法进行规定和管理，以使公司质量/环境/职业健康安全管理方面的信息得到及时的交流、沟通和处理。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内部交流信息：通过方针、目标的沟通，紧急情况的信息、员工的投诉抱怨等。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查环境管理体系方针、目标、指标及管理方案的培训讲解，培训时间2020-9-27。要求全员掌握企业环境方针、目标、指标的含义内容。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外部交流信息：通过电话、微信、邮件等方式进行与业主进行沟通。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顾客沟通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与产品和销售服务有关的要求的确定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与产品和销售服务有关的要求的评审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产品和服务要求的更改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Q8.2.1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Q8.2.2</w:t>
            </w:r>
          </w:p>
          <w:p>
            <w:pPr>
              <w:rPr>
                <w:rFonts w:hint="eastAsia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Q8.2.3</w:t>
            </w:r>
          </w:p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Q8.2.4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提供了《与顾客有关过程管理程序》规定对顾客要求的识别，产品、服务要求的评审与顾客沟通的内容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与要求以及产品、服务的提供，确保与顾客有关过程得到有效控制，从而使顾客满意。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确认与顾客沟通内容与方式：有关产品、服务信息的沟通，通过市场调查访问顾客售后服务沟通；通过问询、合同的处理，使双方对沟通内容达到共识并理解一致；对顾客反馈包括顾客投诉作出反应。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与顾客提供的产品和服务：适用的法律法规要求；公司自己认为的必要要求；合同意向书、订单；顾客规定的产品和服务要求，包括有关可用性、交付和支持方面的要求及价格、交货期、服务等要求；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2020.12.21签订的《劳务派遣合同》（编号：TC-2020-063），合同内容包含双方商定内容，双方责任，合同期限和结算方式等。例如与甲方：杭州汽轮机股份有限公司，合同时间2021年1月1日至2023年12月31日；劳动时间按国家法律、法规要求，劳务派遣管理费10%。查对应的《合同评审表》：涉及合同双方责任、派遣时间、工作时间、合同期限、合同费用等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，评审时间：2020.12.19。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查2020.12.26签订的《服务外包合同》</w:t>
            </w:r>
            <w:r>
              <w:rPr>
                <w:rFonts w:hint="eastAsia" w:eastAsia="宋体"/>
                <w:szCs w:val="22"/>
                <w:highlight w:val="none"/>
                <w:lang w:val="en-US" w:eastAsia="zh-CN"/>
              </w:rPr>
              <w:t>（编号：TC—2021-004），</w:t>
            </w:r>
            <w:r>
              <w:rPr>
                <w:rFonts w:hint="eastAsia"/>
                <w:highlight w:val="none"/>
                <w:lang w:val="en-US" w:eastAsia="zh-CN"/>
              </w:rPr>
              <w:t>合同内容包含双方商定内容，双方责任，合同期限和结算方式等。例如</w:t>
            </w:r>
            <w:r>
              <w:rPr>
                <w:rFonts w:hint="eastAsia" w:eastAsia="宋体"/>
                <w:szCs w:val="22"/>
                <w:highlight w:val="none"/>
                <w:lang w:val="en-US" w:eastAsia="zh-CN"/>
              </w:rPr>
              <w:t>与甲方：杭州华商物流股份有限公司，合同时间2021年1月1日至2021年12月31日。查对应的《合同评审表》：涉及合同 违约责任、委托服务事项（装卸、翻仓、理货、跟车、保洁、门卫）、双方权利义务、外包费用及支付方式等，评审时间：2020.12.23。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目前与顾客的产品和服务无更改内容。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160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顾客满意度</w:t>
            </w:r>
          </w:p>
        </w:tc>
        <w:tc>
          <w:tcPr>
            <w:tcW w:w="960" w:type="dxa"/>
          </w:tcPr>
          <w:p>
            <w:pPr>
              <w:rPr>
                <w:rFonts w:hint="default" w:ascii="宋体" w:hAnsi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Q9.1.2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提供了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客满意度测量控制程序》监控顾客满意和/不满意的信息，测量质量管理体系业绩，衡量质量管理体系的有效性并明确可以改进的领域，不断提高顾客的满意程度。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《顾客满意度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/意见调查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征询表》：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调查内容稳定性、价格、交货期、服务等方面。调查了嘉兴卓航海运有限公司93分、杭州澜鼎建材有限公司95分、杭州华商速达物流有限公司95分、杭州汽轮机股份有限公司厅97分。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《顾客满意度报告》中对顾客满意的程度，总结数据满意率92%，达到满意度目标90%要求。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危险源识别与评价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措施的策划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6.1.2</w:t>
            </w:r>
          </w:p>
          <w:p>
            <w:pPr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6.1.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4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1)提供《</w:t>
            </w:r>
            <w:r>
              <w:rPr>
                <w:rFonts w:hint="eastAsia"/>
                <w:szCs w:val="21"/>
                <w:lang w:eastAsia="zh-CN"/>
              </w:rPr>
              <w:t>环境因素识别和评价程序</w:t>
            </w:r>
            <w:r>
              <w:rPr>
                <w:rFonts w:hint="eastAsia"/>
                <w:szCs w:val="21"/>
              </w:rPr>
              <w:t>》用以指导进行环境因素的识别、登记评价，以确定重要环境因素以及对环境因素的定期更新，环境因素的识别和确定考虑生命周期观点。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提供了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szCs w:val="21"/>
                <w:highlight w:val="none"/>
              </w:rPr>
              <w:t>环境因素识别评价》，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业务部</w:t>
            </w:r>
            <w:r>
              <w:rPr>
                <w:rFonts w:hint="eastAsia"/>
                <w:szCs w:val="21"/>
                <w:highlight w:val="none"/>
              </w:rPr>
              <w:t>所识别的环境因素标明时态、状态和对环境的影响；经查阅识别出对在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办公场所空调的使用、电脑的使用、打印机的使用、潜在的火灾</w:t>
            </w:r>
            <w:r>
              <w:rPr>
                <w:rFonts w:hint="eastAsia"/>
                <w:szCs w:val="21"/>
                <w:highlight w:val="none"/>
              </w:rPr>
              <w:t>等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/>
                <w:szCs w:val="21"/>
                <w:highlight w:val="none"/>
              </w:rPr>
              <w:t>项环境因素及考虑到环境管理体系发生变更时可能产生的环境因素。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重要环境因素采用打分法，统计综合评分方法确定重要环境因素，提供了“重要环境因素清单”：本部门的重要环境因素：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确定的重要环境因素为</w:t>
            </w:r>
            <w:r>
              <w:rPr>
                <w:rFonts w:hint="eastAsia"/>
                <w:szCs w:val="21"/>
                <w:highlight w:val="none"/>
              </w:rPr>
              <w:t>硒鼓、墨盒、色带等危险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固体废弃物的排放、潜在火灾等为重要环境因素，并确定了相应的控制方案。</w:t>
            </w:r>
            <w:r>
              <w:rPr>
                <w:rFonts w:hint="eastAsia"/>
                <w:szCs w:val="21"/>
                <w:highlight w:val="none"/>
              </w:rPr>
              <w:t>编制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/>
                <w:szCs w:val="21"/>
                <w:highlight w:val="none"/>
              </w:rPr>
              <w:t>：</w:t>
            </w:r>
            <w:r>
              <w:rPr>
                <w:rFonts w:hint="eastAsia"/>
              </w:rPr>
              <w:t>宋伟娟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批准</w:t>
            </w:r>
            <w:r>
              <w:rPr>
                <w:rFonts w:hint="eastAsia"/>
                <w:szCs w:val="21"/>
                <w:highlight w:val="none"/>
              </w:rPr>
              <w:t>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宋兵莉；</w:t>
            </w:r>
            <w:r>
              <w:rPr>
                <w:rFonts w:hint="eastAsia"/>
                <w:szCs w:val="21"/>
                <w:highlight w:val="none"/>
              </w:rPr>
              <w:t>日期：2020年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none"/>
              </w:rPr>
              <w:t>日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</w:rPr>
            </w:pPr>
            <w:r>
              <w:rPr>
                <w:rFonts w:hint="eastAsia"/>
                <w:szCs w:val="21"/>
              </w:rPr>
              <w:t>2）提供</w:t>
            </w:r>
            <w:r>
              <w:rPr>
                <w:rFonts w:hint="eastAsia" w:eastAsia="宋体"/>
                <w:szCs w:val="21"/>
              </w:rPr>
              <w:t>了公司制定《</w:t>
            </w:r>
            <w:r>
              <w:rPr>
                <w:rFonts w:hint="eastAsia" w:eastAsia="宋体"/>
                <w:szCs w:val="21"/>
                <w:lang w:eastAsia="zh-CN"/>
              </w:rPr>
              <w:t>危险源辨识和评价控制程序</w:t>
            </w:r>
            <w:r>
              <w:rPr>
                <w:rFonts w:hint="eastAsia" w:eastAsia="宋体"/>
                <w:szCs w:val="21"/>
              </w:rPr>
              <w:t>》确保公司在所有管理活动或服务过程中能最大限度、充分地进行危险源辨识与风险性评价，确定不可接受风险并及时更新，实现对危险源与不可接受风险的有效控制。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</w:rPr>
              <w:t>提供了《</w:t>
            </w:r>
            <w:r>
              <w:rPr>
                <w:rFonts w:hint="eastAsia" w:eastAsia="宋体"/>
                <w:szCs w:val="21"/>
                <w:lang w:eastAsia="zh-CN"/>
              </w:rPr>
              <w:t>危险源辩识风险评价表</w:t>
            </w:r>
            <w:r>
              <w:rPr>
                <w:rFonts w:hint="eastAsia" w:eastAsia="宋体"/>
                <w:szCs w:val="21"/>
              </w:rPr>
              <w:t>》，对</w:t>
            </w:r>
            <w:r>
              <w:rPr>
                <w:rFonts w:hint="eastAsia" w:eastAsia="宋体"/>
                <w:szCs w:val="21"/>
                <w:lang w:val="en-US" w:eastAsia="zh-CN"/>
              </w:rPr>
              <w:t>业务部</w:t>
            </w:r>
            <w:r>
              <w:rPr>
                <w:rFonts w:hint="eastAsia" w:eastAsia="宋体"/>
                <w:szCs w:val="21"/>
              </w:rPr>
              <w:t>活动场所产生的危险源辨识并进行风险评价，以确定控制措施，经查阅已辨识出</w:t>
            </w:r>
            <w:r>
              <w:rPr>
                <w:rFonts w:hint="eastAsia" w:eastAsia="宋体"/>
                <w:szCs w:val="21"/>
                <w:lang w:eastAsia="zh-CN"/>
              </w:rPr>
              <w:t>业务部</w:t>
            </w:r>
            <w:r>
              <w:rPr>
                <w:rFonts w:hint="eastAsia" w:eastAsia="宋体"/>
                <w:szCs w:val="21"/>
              </w:rPr>
              <w:t>办公服</w:t>
            </w:r>
            <w:bookmarkStart w:id="0" w:name="_GoBack"/>
            <w:bookmarkEnd w:id="0"/>
            <w:r>
              <w:rPr>
                <w:rFonts w:hint="eastAsia" w:eastAsia="宋体"/>
                <w:szCs w:val="21"/>
              </w:rPr>
              <w:t>务人员出差途中发生交通事故</w:t>
            </w:r>
            <w:r>
              <w:rPr>
                <w:rFonts w:hint="eastAsia" w:eastAsia="宋体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Cs w:val="21"/>
              </w:rPr>
              <w:t>服务人员出差天气热未采取措施</w:t>
            </w:r>
            <w:r>
              <w:rPr>
                <w:rFonts w:hint="eastAsia" w:eastAsia="宋体"/>
                <w:szCs w:val="21"/>
                <w:lang w:val="en-US" w:eastAsia="zh-CN"/>
              </w:rPr>
              <w:t>等危险因素。编制：宋伟娟；审核：史丽波；批准宋兵莉；日期：2020年9月5日。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</w:rPr>
              <w:t>由各部门有管理经验的人员共同讨论</w:t>
            </w:r>
            <w:r>
              <w:rPr>
                <w:rFonts w:hint="eastAsia"/>
                <w:szCs w:val="21"/>
                <w:highlight w:val="none"/>
              </w:rPr>
              <w:t>、采用经验法确定不可接受风险，根据评估结果确定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不可接受风险</w:t>
            </w:r>
            <w:r>
              <w:rPr>
                <w:rFonts w:hint="eastAsia"/>
                <w:szCs w:val="21"/>
                <w:highlight w:val="none"/>
              </w:rPr>
              <w:t>为：业务人员出差途中发生交通事故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</w:rPr>
              <w:t>服务人员出差天气热未采取措施发生中暑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控制措施为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遵守交通规则、加强自我保护意识、加强自我保护意识。</w:t>
            </w:r>
            <w:r>
              <w:rPr>
                <w:rFonts w:hint="eastAsia" w:eastAsia="宋体"/>
                <w:szCs w:val="21"/>
                <w:lang w:val="en-US" w:eastAsia="zh-CN"/>
              </w:rPr>
              <w:t>编制：宋伟娟；审核：史丽波；批准宋兵莉；日期：2020年9月5日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1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EO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涉及到</w:t>
            </w:r>
            <w:r>
              <w:rPr>
                <w:rFonts w:hint="eastAsia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Cs w:val="21"/>
              </w:rPr>
              <w:t>部的重要环境因素主要是：固废排放、火灾；不可接受危险主要为</w:t>
            </w:r>
            <w:r>
              <w:rPr>
                <w:rFonts w:hint="eastAsia"/>
                <w:szCs w:val="21"/>
                <w:lang w:val="en-US" w:eastAsia="zh-CN"/>
              </w:rPr>
              <w:t>交通事故、</w:t>
            </w:r>
            <w:r>
              <w:rPr>
                <w:rFonts w:hint="eastAsia"/>
                <w:szCs w:val="21"/>
              </w:rPr>
              <w:t>触电、火灾、中暑等；目前</w:t>
            </w:r>
            <w:r>
              <w:rPr>
                <w:rFonts w:hint="eastAsia"/>
                <w:szCs w:val="21"/>
                <w:lang w:val="en-US" w:eastAsia="zh-CN"/>
              </w:rPr>
              <w:t>业务部</w:t>
            </w:r>
            <w:r>
              <w:rPr>
                <w:rFonts w:hint="eastAsia"/>
                <w:szCs w:val="21"/>
              </w:rPr>
              <w:t>各环境因素和危险源按照要求进行策划和管理控制：</w:t>
            </w:r>
          </w:p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废水管控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主要生活废水排入政府污水管网统一处理。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废气管控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办公现场基本无废气排放。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噪声管控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办公噪声主要是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空调</w:t>
            </w:r>
            <w:r>
              <w:rPr>
                <w:rFonts w:hint="eastAsia"/>
                <w:szCs w:val="21"/>
                <w:highlight w:val="none"/>
              </w:rPr>
              <w:t>运行，噪声较低，采取措施按时清洁保养。</w:t>
            </w:r>
          </w:p>
          <w:p>
            <w:pPr>
              <w:spacing w:line="280" w:lineRule="exact"/>
              <w:ind w:firstLine="420" w:firstLineChars="200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固废管控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配置垃圾桶，实施分类存放；一般生活垃圾，由环卫所统一清运；办公区复印机废墨盒、废电池等危险固废，各部门统一交给办公室，在公司封存，定期交有资格处理的单位处理；废弃物（灰尘、油污垢）与资质方签订清运协议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统一清理。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能源资源管控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Cs w:val="21"/>
                <w:highlight w:val="none"/>
              </w:rPr>
              <w:t>持续在公司内部进行节约用水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、用电</w:t>
            </w:r>
            <w:r>
              <w:rPr>
                <w:rFonts w:hint="eastAsia"/>
                <w:szCs w:val="21"/>
                <w:highlight w:val="none"/>
              </w:rPr>
              <w:t>宣传及张贴节约用水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节电</w:t>
            </w:r>
            <w:r>
              <w:rPr>
                <w:rFonts w:hint="eastAsia"/>
                <w:szCs w:val="21"/>
                <w:highlight w:val="none"/>
              </w:rPr>
              <w:t>标识；由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/>
                <w:szCs w:val="21"/>
                <w:highlight w:val="none"/>
              </w:rPr>
              <w:t>统一处置办公固废（墨盒、硒鼓等）、检查用电安全、消防设施等。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业务部</w:t>
            </w:r>
            <w:r>
              <w:rPr>
                <w:rFonts w:hint="eastAsia"/>
                <w:szCs w:val="21"/>
                <w:highlight w:val="none"/>
              </w:rPr>
              <w:t>主要配合做好部门内的垃圾分类，下班及时做好关水断电等工作。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职业健康防护：</w:t>
            </w:r>
            <w:r>
              <w:rPr>
                <w:rFonts w:hint="eastAsia"/>
                <w:szCs w:val="21"/>
                <w:highlight w:val="none"/>
              </w:rPr>
              <w:t>持续落实劳保用品、过节费、确保月休等福利措施的实施；每年安排员工体检；确保清洁员工社保及团队意外险的落实到位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与重点相关方签定关于环境、安全方面的协议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的方式</w:t>
            </w:r>
            <w:r>
              <w:rPr>
                <w:rFonts w:hint="eastAsia"/>
                <w:szCs w:val="21"/>
                <w:highlight w:val="none"/>
              </w:rPr>
              <w:t>施加影响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1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8.2 </w:t>
            </w:r>
          </w:p>
        </w:tc>
        <w:tc>
          <w:tcPr>
            <w:tcW w:w="10004" w:type="dxa"/>
            <w:vAlign w:val="center"/>
          </w:tcPr>
          <w:p>
            <w:pPr>
              <w:pStyle w:val="13"/>
              <w:spacing w:line="280" w:lineRule="exact"/>
              <w:ind w:firstLineChars="0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编制了《应急准备和响应管理程序》，查看内容基本符合要求。策划成立了义务消防队，包括查晓荣 、王奇振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宋伟娟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徐建华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</w:rPr>
              <w:t>方勤荣、张维东、黄俊、刘超、杨娟、于春贺、王静、周建勤；应急预案包括紧急应变处理流程图、触电、火灾、中暑应急预案等应急预案。</w:t>
            </w:r>
          </w:p>
          <w:p>
            <w:pPr>
              <w:pStyle w:val="13"/>
              <w:spacing w:line="280" w:lineRule="exact"/>
              <w:ind w:firstLineChars="0"/>
              <w:rPr>
                <w:b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查应急预案评估报告，通过以上评估，公司应急预案的制定基本合理。公司进行了消防灭火演练，查应急演练记录。提供了2020.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9.20</w:t>
            </w:r>
            <w:r>
              <w:rPr>
                <w:rFonts w:hint="eastAsia"/>
                <w:sz w:val="21"/>
                <w:szCs w:val="21"/>
                <w:highlight w:val="none"/>
              </w:rPr>
              <w:t>消防灭火演练，参加人员包括总经理/总指挥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宋兵莉</w:t>
            </w:r>
            <w:r>
              <w:rPr>
                <w:rFonts w:hint="eastAsia"/>
                <w:sz w:val="21"/>
                <w:szCs w:val="21"/>
                <w:highlight w:val="none"/>
              </w:rPr>
              <w:t>，策划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宋伟娟</w:t>
            </w:r>
            <w:r>
              <w:rPr>
                <w:rFonts w:hint="eastAsia"/>
                <w:sz w:val="21"/>
                <w:szCs w:val="21"/>
                <w:highlight w:val="none"/>
              </w:rPr>
              <w:t>，员工黄俊、刘超、杨娟、于春贺、王静、周建勤等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  <w:highlight w:val="none"/>
              </w:rPr>
              <w:t>名员工，记录了演练过程，存在的问题主要为要加强消防技能的的培训，普及全体员工的防火意识。并进行了总结评估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：基本达到演练目的</w:t>
            </w:r>
            <w:r>
              <w:rPr>
                <w:rFonts w:hint="eastAsia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aq5dYAAAAKAQAADwAAAAAAAAABACAA&#10;AAAiAAAAZHJzL2Rvd25yZXYueG1sUEsBAhQAFAAAAAgAh07iQB0HtHE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1"/>
    <w:rsid w:val="00007B5B"/>
    <w:rsid w:val="00042B14"/>
    <w:rsid w:val="000551A6"/>
    <w:rsid w:val="00071EED"/>
    <w:rsid w:val="000A00A0"/>
    <w:rsid w:val="000A1A77"/>
    <w:rsid w:val="000F2CEF"/>
    <w:rsid w:val="000F3EC2"/>
    <w:rsid w:val="00103931"/>
    <w:rsid w:val="001175DE"/>
    <w:rsid w:val="00124549"/>
    <w:rsid w:val="00160455"/>
    <w:rsid w:val="00162691"/>
    <w:rsid w:val="00164C7B"/>
    <w:rsid w:val="00193FA3"/>
    <w:rsid w:val="001B2171"/>
    <w:rsid w:val="001B32DE"/>
    <w:rsid w:val="001C29E1"/>
    <w:rsid w:val="001D5047"/>
    <w:rsid w:val="001F157B"/>
    <w:rsid w:val="002117B5"/>
    <w:rsid w:val="002462D0"/>
    <w:rsid w:val="00263638"/>
    <w:rsid w:val="00274C74"/>
    <w:rsid w:val="00295CDC"/>
    <w:rsid w:val="002D6A23"/>
    <w:rsid w:val="002F484C"/>
    <w:rsid w:val="00315297"/>
    <w:rsid w:val="00321960"/>
    <w:rsid w:val="00344AA3"/>
    <w:rsid w:val="00347B79"/>
    <w:rsid w:val="00355ECC"/>
    <w:rsid w:val="0036229B"/>
    <w:rsid w:val="00362684"/>
    <w:rsid w:val="003643A2"/>
    <w:rsid w:val="003668B9"/>
    <w:rsid w:val="003A4BDD"/>
    <w:rsid w:val="003A7E6F"/>
    <w:rsid w:val="003D7B7D"/>
    <w:rsid w:val="003F33A8"/>
    <w:rsid w:val="003F66F4"/>
    <w:rsid w:val="00401666"/>
    <w:rsid w:val="00420E81"/>
    <w:rsid w:val="0049604C"/>
    <w:rsid w:val="004B7DFA"/>
    <w:rsid w:val="004D0690"/>
    <w:rsid w:val="004D16C6"/>
    <w:rsid w:val="00507E92"/>
    <w:rsid w:val="005245FE"/>
    <w:rsid w:val="00525128"/>
    <w:rsid w:val="00562D1A"/>
    <w:rsid w:val="00565D0D"/>
    <w:rsid w:val="00582284"/>
    <w:rsid w:val="005B20B0"/>
    <w:rsid w:val="005D7D32"/>
    <w:rsid w:val="005E6EEF"/>
    <w:rsid w:val="00604358"/>
    <w:rsid w:val="00605D58"/>
    <w:rsid w:val="00622B0F"/>
    <w:rsid w:val="006376B1"/>
    <w:rsid w:val="00643ACE"/>
    <w:rsid w:val="00655A1D"/>
    <w:rsid w:val="006704CA"/>
    <w:rsid w:val="0069320B"/>
    <w:rsid w:val="006A1F08"/>
    <w:rsid w:val="006B7275"/>
    <w:rsid w:val="006B7D4E"/>
    <w:rsid w:val="006D2CF4"/>
    <w:rsid w:val="006E0BFE"/>
    <w:rsid w:val="0070730F"/>
    <w:rsid w:val="00713A12"/>
    <w:rsid w:val="00756675"/>
    <w:rsid w:val="0078254F"/>
    <w:rsid w:val="007A72C4"/>
    <w:rsid w:val="007C681F"/>
    <w:rsid w:val="007E4C0C"/>
    <w:rsid w:val="007F2F6A"/>
    <w:rsid w:val="00804D2F"/>
    <w:rsid w:val="00806FFA"/>
    <w:rsid w:val="00852FAD"/>
    <w:rsid w:val="00870586"/>
    <w:rsid w:val="00876FE4"/>
    <w:rsid w:val="00881F1B"/>
    <w:rsid w:val="0088506E"/>
    <w:rsid w:val="00891AB9"/>
    <w:rsid w:val="008A5B9A"/>
    <w:rsid w:val="008A6625"/>
    <w:rsid w:val="008D2A19"/>
    <w:rsid w:val="008D3EE7"/>
    <w:rsid w:val="008D4D55"/>
    <w:rsid w:val="008E2FA4"/>
    <w:rsid w:val="008E4E47"/>
    <w:rsid w:val="008E5568"/>
    <w:rsid w:val="009014A2"/>
    <w:rsid w:val="00905C44"/>
    <w:rsid w:val="00910810"/>
    <w:rsid w:val="00925A92"/>
    <w:rsid w:val="00934D17"/>
    <w:rsid w:val="00941328"/>
    <w:rsid w:val="009730DA"/>
    <w:rsid w:val="009733A4"/>
    <w:rsid w:val="00987D09"/>
    <w:rsid w:val="009D5C38"/>
    <w:rsid w:val="009F4EDA"/>
    <w:rsid w:val="00A21B18"/>
    <w:rsid w:val="00A25FC4"/>
    <w:rsid w:val="00A55818"/>
    <w:rsid w:val="00A558EF"/>
    <w:rsid w:val="00A615E8"/>
    <w:rsid w:val="00A92D54"/>
    <w:rsid w:val="00AB3D9C"/>
    <w:rsid w:val="00AB58E8"/>
    <w:rsid w:val="00AF5445"/>
    <w:rsid w:val="00AF7A8A"/>
    <w:rsid w:val="00B410E1"/>
    <w:rsid w:val="00B72427"/>
    <w:rsid w:val="00B73833"/>
    <w:rsid w:val="00B957C8"/>
    <w:rsid w:val="00B97A59"/>
    <w:rsid w:val="00BA1828"/>
    <w:rsid w:val="00BA1C97"/>
    <w:rsid w:val="00BB160D"/>
    <w:rsid w:val="00BC4416"/>
    <w:rsid w:val="00BC5955"/>
    <w:rsid w:val="00BE7E28"/>
    <w:rsid w:val="00C22840"/>
    <w:rsid w:val="00C26588"/>
    <w:rsid w:val="00C30C45"/>
    <w:rsid w:val="00C32929"/>
    <w:rsid w:val="00C44524"/>
    <w:rsid w:val="00C717A2"/>
    <w:rsid w:val="00CA34D6"/>
    <w:rsid w:val="00D37EF8"/>
    <w:rsid w:val="00D56E42"/>
    <w:rsid w:val="00D75A68"/>
    <w:rsid w:val="00D81227"/>
    <w:rsid w:val="00D84768"/>
    <w:rsid w:val="00D877C2"/>
    <w:rsid w:val="00D9287A"/>
    <w:rsid w:val="00D97452"/>
    <w:rsid w:val="00DA65B7"/>
    <w:rsid w:val="00DC25D1"/>
    <w:rsid w:val="00DC62D1"/>
    <w:rsid w:val="00DD1FE4"/>
    <w:rsid w:val="00DD3CA9"/>
    <w:rsid w:val="00DD6851"/>
    <w:rsid w:val="00DE4D90"/>
    <w:rsid w:val="00DF12DC"/>
    <w:rsid w:val="00E0471E"/>
    <w:rsid w:val="00E72227"/>
    <w:rsid w:val="00E77854"/>
    <w:rsid w:val="00E947EE"/>
    <w:rsid w:val="00E9662D"/>
    <w:rsid w:val="00EA6446"/>
    <w:rsid w:val="00EC20CB"/>
    <w:rsid w:val="00ED01B8"/>
    <w:rsid w:val="00ED2888"/>
    <w:rsid w:val="00EE0D35"/>
    <w:rsid w:val="00EE7428"/>
    <w:rsid w:val="00EF5B9C"/>
    <w:rsid w:val="00F17E61"/>
    <w:rsid w:val="00F22611"/>
    <w:rsid w:val="00F47546"/>
    <w:rsid w:val="00F5368E"/>
    <w:rsid w:val="00F90642"/>
    <w:rsid w:val="00FC294A"/>
    <w:rsid w:val="03474323"/>
    <w:rsid w:val="07096467"/>
    <w:rsid w:val="0B343CF4"/>
    <w:rsid w:val="0D69422C"/>
    <w:rsid w:val="15040A7A"/>
    <w:rsid w:val="1F722763"/>
    <w:rsid w:val="217725F9"/>
    <w:rsid w:val="220474F2"/>
    <w:rsid w:val="221B49EF"/>
    <w:rsid w:val="2555686D"/>
    <w:rsid w:val="26305D9F"/>
    <w:rsid w:val="290760A2"/>
    <w:rsid w:val="2AD72077"/>
    <w:rsid w:val="3078451F"/>
    <w:rsid w:val="318E5CBC"/>
    <w:rsid w:val="34B245A4"/>
    <w:rsid w:val="353A005A"/>
    <w:rsid w:val="39C20A18"/>
    <w:rsid w:val="3B015E95"/>
    <w:rsid w:val="3C772C94"/>
    <w:rsid w:val="40665046"/>
    <w:rsid w:val="41812964"/>
    <w:rsid w:val="42255769"/>
    <w:rsid w:val="428E0270"/>
    <w:rsid w:val="442C3A12"/>
    <w:rsid w:val="45D773CD"/>
    <w:rsid w:val="470571F6"/>
    <w:rsid w:val="53F53739"/>
    <w:rsid w:val="551928B5"/>
    <w:rsid w:val="59B220A5"/>
    <w:rsid w:val="5CF04A8E"/>
    <w:rsid w:val="5CFA77B0"/>
    <w:rsid w:val="5D4F5453"/>
    <w:rsid w:val="653F683F"/>
    <w:rsid w:val="66BE494B"/>
    <w:rsid w:val="6C6F151C"/>
    <w:rsid w:val="6EDA613E"/>
    <w:rsid w:val="752E599C"/>
    <w:rsid w:val="7FFE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360"/>
    </w:pPr>
    <w:rPr>
      <w:sz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373</Words>
  <Characters>2127</Characters>
  <Lines>17</Lines>
  <Paragraphs>4</Paragraphs>
  <TotalTime>6</TotalTime>
  <ScaleCrop>false</ScaleCrop>
  <LinksUpToDate>false</LinksUpToDate>
  <CharactersWithSpaces>2496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2020-04-19T06:32:00Z</dcterms:created>
  <dc:creator>微软用户</dc:creator>
  <cp:lastModifiedBy>fxe</cp:lastModifiedBy>
  <dcterms:modified xsi:type="dcterms:W3CDTF">2021-02-02T06:47:02Z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