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重庆年年有余物业管理有限公司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重庆年年有余物业管理有限公司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重庆市九龙坡区石杨路25-5-1、2、3、6、7、8、9号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重庆市九龙坡区石杨路25-5-1、2、3、6、7、8、9号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刘显燕</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17782289989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杨川</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杨川</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谭巧玲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2020-05-08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default" w:ascii="宋体" w:hAnsi="宋体" w:eastAsia="宋体"/>
                <w:b/>
                <w:color w:val="FF0000"/>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auto"/>
                <w:sz w:val="20"/>
                <w:szCs w:val="20"/>
              </w:rPr>
              <w:t>：</w:t>
            </w:r>
            <w:r>
              <w:rPr>
                <w:rFonts w:hint="eastAsia" w:ascii="宋体" w:hAnsi="宋体"/>
                <w:b/>
                <w:color w:val="auto"/>
                <w:sz w:val="20"/>
                <w:szCs w:val="20"/>
                <w:lang w:val="en-US" w:eastAsia="zh-CN"/>
              </w:rPr>
              <w:t>详见多场所申报清单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04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704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项目部</w:t>
            </w:r>
          </w:p>
        </w:tc>
        <w:tc>
          <w:tcPr>
            <w:tcW w:w="704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jc w:val="center"/>
              <w:rPr>
                <w:rFonts w:ascii="宋体" w:hAnsi="宋体"/>
                <w:b/>
                <w:color w:val="000000" w:themeColor="text1"/>
                <w:sz w:val="20"/>
                <w:szCs w:val="20"/>
              </w:rPr>
            </w:pPr>
          </w:p>
        </w:tc>
        <w:tc>
          <w:tcPr>
            <w:tcW w:w="704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auto"/>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pacing w:val="-2"/>
                <w:sz w:val="20"/>
                <w:szCs w:val="20"/>
              </w:rPr>
            </w:pPr>
            <w:r>
              <w:rPr>
                <w:rFonts w:hint="eastAsia" w:ascii="宋体" w:hAnsi="宋体"/>
                <w:b/>
                <w:color w:val="auto"/>
                <w:spacing w:val="-2"/>
                <w:sz w:val="20"/>
                <w:szCs w:val="20"/>
              </w:rPr>
              <w:t>分场所名称</w:t>
            </w:r>
          </w:p>
        </w:tc>
        <w:tc>
          <w:tcPr>
            <w:tcW w:w="3249" w:type="dxa"/>
          </w:tcPr>
          <w:p>
            <w:pPr>
              <w:jc w:val="center"/>
              <w:rPr>
                <w:rFonts w:ascii="宋体" w:hAnsi="宋体"/>
                <w:b/>
                <w:color w:val="auto"/>
                <w:sz w:val="20"/>
                <w:szCs w:val="20"/>
              </w:rPr>
            </w:pPr>
            <w:r>
              <w:rPr>
                <w:rFonts w:hint="eastAsia" w:ascii="宋体" w:hAnsi="宋体"/>
                <w:b/>
                <w:color w:val="auto"/>
                <w:sz w:val="20"/>
                <w:szCs w:val="20"/>
              </w:rPr>
              <w:t>职能或过程</w:t>
            </w:r>
            <w:r>
              <w:rPr>
                <w:rFonts w:hint="eastAsia" w:ascii="宋体" w:hAnsi="宋体"/>
                <w:b/>
                <w:color w:val="auto"/>
                <w:spacing w:val="-2"/>
                <w:sz w:val="20"/>
                <w:szCs w:val="20"/>
              </w:rPr>
              <w:t>:</w:t>
            </w:r>
          </w:p>
        </w:tc>
        <w:tc>
          <w:tcPr>
            <w:tcW w:w="3555" w:type="dxa"/>
          </w:tcPr>
          <w:p>
            <w:pPr>
              <w:jc w:val="center"/>
              <w:rPr>
                <w:rFonts w:ascii="宋体" w:hAnsi="宋体"/>
                <w:b/>
                <w:color w:val="auto"/>
                <w:sz w:val="20"/>
                <w:szCs w:val="20"/>
              </w:rPr>
            </w:pPr>
            <w:r>
              <w:rPr>
                <w:rFonts w:hint="eastAsia" w:ascii="宋体" w:hAnsi="宋体"/>
                <w:b/>
                <w:color w:val="auto"/>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color w:val="auto"/>
                <w:lang w:val="en-US" w:eastAsia="zh-CN"/>
              </w:rPr>
            </w:pPr>
            <w:r>
              <w:rPr>
                <w:rFonts w:hint="eastAsia"/>
                <w:color w:val="auto"/>
                <w:lang w:val="en-US" w:eastAsia="zh-CN"/>
              </w:rPr>
              <w:t>凤鸣戎苑小区</w:t>
            </w:r>
          </w:p>
        </w:tc>
        <w:tc>
          <w:tcPr>
            <w:tcW w:w="3249" w:type="dxa"/>
          </w:tcPr>
          <w:p>
            <w:pPr>
              <w:jc w:val="center"/>
              <w:rPr>
                <w:rFonts w:hint="default"/>
                <w:color w:val="auto"/>
                <w:lang w:val="en-US" w:eastAsia="zh-CN"/>
              </w:rPr>
            </w:pPr>
            <w:r>
              <w:rPr>
                <w:rFonts w:hint="eastAsia"/>
                <w:color w:val="auto"/>
                <w:lang w:val="en-US" w:eastAsia="zh-CN"/>
              </w:rPr>
              <w:t>物业管理</w:t>
            </w:r>
          </w:p>
        </w:tc>
        <w:tc>
          <w:tcPr>
            <w:tcW w:w="3555" w:type="dxa"/>
          </w:tcPr>
          <w:p>
            <w:pPr>
              <w:jc w:val="center"/>
              <w:rPr>
                <w:rFonts w:hint="eastAsia"/>
                <w:color w:val="auto"/>
                <w:lang w:val="en-US" w:eastAsia="zh-CN"/>
              </w:rPr>
            </w:pPr>
            <w:r>
              <w:rPr>
                <w:rFonts w:hint="eastAsia"/>
                <w:color w:val="auto"/>
                <w:lang w:val="en-US" w:eastAsia="zh-CN"/>
              </w:rPr>
              <w:t>重庆市沙坪坝区凤天大道154号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物业管理服务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szCs w:val="21"/>
              </w:rPr>
            </w:pPr>
            <w:r>
              <w:rPr>
                <w:rFonts w:hint="eastAsia"/>
                <w:color w:val="auto"/>
                <w:sz w:val="21"/>
                <w:szCs w:val="21"/>
              </w:rPr>
              <w:t>《重庆市物业管理条例》、《重庆市物业服务收费管理办法》、</w:t>
            </w:r>
            <w:r>
              <w:rPr>
                <w:rFonts w:hint="eastAsia"/>
                <w:color w:val="auto"/>
                <w:sz w:val="21"/>
                <w:szCs w:val="21"/>
                <w:lang w:eastAsia="zh-CN"/>
              </w:rPr>
              <w:t>《</w:t>
            </w:r>
            <w:r>
              <w:rPr>
                <w:rFonts w:hint="eastAsia"/>
                <w:color w:val="auto"/>
                <w:sz w:val="21"/>
                <w:szCs w:val="21"/>
              </w:rPr>
              <w:t>重庆市电梯维修使用管理办法</w:t>
            </w:r>
            <w:r>
              <w:rPr>
                <w:rFonts w:hint="eastAsia"/>
                <w:color w:val="auto"/>
                <w:sz w:val="21"/>
                <w:szCs w:val="21"/>
                <w:lang w:eastAsia="zh-CN"/>
              </w:rPr>
              <w:t>》、《</w:t>
            </w:r>
            <w:r>
              <w:rPr>
                <w:rFonts w:hint="eastAsia"/>
                <w:color w:val="auto"/>
                <w:sz w:val="21"/>
                <w:szCs w:val="21"/>
              </w:rPr>
              <w:t>重庆市容环境卫生管理条例</w:t>
            </w:r>
            <w:r>
              <w:rPr>
                <w:rFonts w:hint="eastAsia"/>
                <w:color w:val="auto"/>
                <w:sz w:val="21"/>
                <w:szCs w:val="21"/>
                <w:lang w:eastAsia="zh-CN"/>
              </w:rPr>
              <w:t>》</w:t>
            </w:r>
            <w:r>
              <w:rPr>
                <w:rFonts w:hint="eastAsia"/>
                <w:color w:val="auto"/>
                <w:sz w:val="21"/>
                <w:szCs w:val="21"/>
              </w:rPr>
              <w:t>和合同协议等</w:t>
            </w:r>
            <w:r>
              <w:rPr>
                <w:rFonts w:hint="eastAsia"/>
                <w:szCs w:val="21"/>
              </w:rPr>
              <w:t>。</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20" w:firstLineChars="200"/>
              <w:jc w:val="left"/>
              <w:rPr>
                <w:rFonts w:ascii="宋体" w:hAnsi="宋体"/>
                <w:b/>
                <w:sz w:val="21"/>
                <w:szCs w:val="21"/>
              </w:rPr>
            </w:pPr>
            <w:r>
              <w:rPr>
                <w:rFonts w:hint="eastAsia" w:asciiTheme="minorEastAsia" w:hAnsiTheme="minorEastAsia" w:eastAsiaTheme="minorEastAsia" w:cstheme="minorEastAsia"/>
                <w:color w:val="000000"/>
                <w:sz w:val="21"/>
                <w:szCs w:val="21"/>
                <w:lang w:eastAsia="zh-CN"/>
              </w:rPr>
              <w:t>重庆年年有余物业管理有限公司</w:t>
            </w:r>
            <w:r>
              <w:rPr>
                <w:rFonts w:hint="eastAsia" w:asciiTheme="minorEastAsia" w:hAnsiTheme="minorEastAsia" w:eastAsiaTheme="minorEastAsia" w:cstheme="minorEastAsia"/>
                <w:sz w:val="21"/>
                <w:szCs w:val="21"/>
              </w:rPr>
              <w:t>成立于</w:t>
            </w:r>
            <w:r>
              <w:rPr>
                <w:rFonts w:hint="eastAsia" w:asciiTheme="minorEastAsia" w:hAnsiTheme="minorEastAsia" w:eastAsiaTheme="minorEastAsia" w:cstheme="minorEastAsia"/>
                <w:sz w:val="21"/>
                <w:szCs w:val="21"/>
                <w:highlight w:val="none"/>
                <w:lang w:val="zh-CN"/>
              </w:rPr>
              <w:t>公司成立于2013年</w:t>
            </w:r>
            <w:r>
              <w:rPr>
                <w:rFonts w:hint="eastAsia" w:asciiTheme="minorEastAsia" w:hAnsiTheme="minorEastAsia" w:eastAsiaTheme="minorEastAsia" w:cstheme="minorEastAsia"/>
                <w:sz w:val="21"/>
                <w:szCs w:val="21"/>
              </w:rPr>
              <w:t>，注册</w:t>
            </w:r>
            <w:r>
              <w:rPr>
                <w:rFonts w:hint="eastAsia" w:asciiTheme="minorEastAsia" w:hAnsiTheme="minorEastAsia" w:eastAsiaTheme="minorEastAsia" w:cstheme="minorEastAsia"/>
                <w:color w:val="000000"/>
                <w:sz w:val="21"/>
                <w:szCs w:val="21"/>
              </w:rPr>
              <w:t>地址位于</w:t>
            </w:r>
            <w:r>
              <w:rPr>
                <w:sz w:val="21"/>
                <w:szCs w:val="21"/>
              </w:rPr>
              <w:t>重庆市九龙坡区石杨路25-5-1、2、3、6、7、8、9号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主要经营物业管理</w:t>
            </w:r>
            <w:r>
              <w:rPr>
                <w:rFonts w:hint="eastAsia" w:ascii="宋体" w:hAnsi="宋体"/>
                <w:sz w:val="21"/>
                <w:szCs w:val="21"/>
              </w:rPr>
              <w:t>。现有员工</w:t>
            </w:r>
            <w:r>
              <w:rPr>
                <w:rFonts w:hint="eastAsia" w:ascii="宋体" w:hAnsi="宋体"/>
                <w:sz w:val="21"/>
                <w:szCs w:val="21"/>
                <w:lang w:val="en-US" w:eastAsia="zh-CN"/>
              </w:rPr>
              <w:t>64</w:t>
            </w:r>
            <w:r>
              <w:rPr>
                <w:rFonts w:hint="eastAsia" w:ascii="宋体" w:hAnsi="宋体"/>
                <w:sz w:val="21"/>
                <w:szCs w:val="21"/>
              </w:rPr>
              <w:t>人，目前经营情况良好。组织对内外部因素、相关方需求和期望进行了充分的识别，策划和实施有效。确定了体系的边界，基本适用。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400" w:lineRule="exact"/>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sz w:val="21"/>
                <w:szCs w:val="21"/>
              </w:rPr>
            </w:pPr>
            <w:r>
              <w:rPr>
                <w:rFonts w:hint="eastAsia"/>
                <w:sz w:val="21"/>
                <w:szCs w:val="21"/>
              </w:rPr>
              <w:t xml:space="preserve">管理方针： </w:t>
            </w:r>
          </w:p>
          <w:p>
            <w:pPr>
              <w:spacing w:line="400" w:lineRule="exact"/>
              <w:ind w:firstLine="210" w:firstLineChars="100"/>
              <w:rPr>
                <w:rFonts w:ascii="宋体" w:hAnsi="宋体"/>
                <w:b/>
                <w:sz w:val="21"/>
                <w:szCs w:val="21"/>
              </w:rPr>
            </w:pPr>
            <w:r>
              <w:rPr>
                <w:rFonts w:hint="eastAsia"/>
                <w:sz w:val="21"/>
                <w:szCs w:val="21"/>
              </w:rPr>
              <w:t>“</w:t>
            </w:r>
            <w:r>
              <w:rPr>
                <w:rFonts w:hint="eastAsia" w:ascii="Times New Roman" w:hAnsi="Times New Roman" w:eastAsia="宋体" w:cs="Times New Roman"/>
                <w:sz w:val="21"/>
                <w:szCs w:val="21"/>
              </w:rPr>
              <w:t>业主至上、诚信守法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持续改进、科学管理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珍惜环境、和谐发展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节能降耗、安全第一</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80" w:lineRule="exact"/>
              <w:ind w:firstLine="210" w:firstLineChars="100"/>
              <w:rPr>
                <w:rFonts w:ascii="宋体" w:hAnsi="宋体"/>
                <w:b/>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color w:val="auto"/>
                <w:sz w:val="21"/>
                <w:szCs w:val="21"/>
              </w:rPr>
            </w:pPr>
            <w:r>
              <w:rPr>
                <w:rFonts w:ascii="宋体" w:hAnsi="宋体"/>
                <w:b/>
                <w:sz w:val="21"/>
                <w:szCs w:val="21"/>
              </w:rPr>
              <w:t>5.QMS</w:t>
            </w:r>
          </w:p>
          <w:p>
            <w:pPr>
              <w:tabs>
                <w:tab w:val="left" w:pos="540"/>
              </w:tabs>
              <w:spacing w:line="300" w:lineRule="exact"/>
              <w:ind w:left="211" w:hanging="211" w:hangingChars="100"/>
              <w:rPr>
                <w:rFonts w:ascii="宋体" w:hAnsi="宋体"/>
                <w:b/>
                <w:color w:val="auto"/>
                <w:sz w:val="21"/>
                <w:szCs w:val="21"/>
                <w:u w:val="single"/>
              </w:rPr>
            </w:pPr>
            <w:r>
              <w:rPr>
                <w:rFonts w:hint="eastAsia" w:ascii="宋体" w:hAnsi="宋体"/>
                <w:b/>
                <w:color w:val="auto"/>
                <w:sz w:val="21"/>
                <w:szCs w:val="21"/>
              </w:rPr>
              <w:t>质量管理体系过程有：合同评审、服务管理过程。</w:t>
            </w:r>
          </w:p>
          <w:p>
            <w:pPr>
              <w:tabs>
                <w:tab w:val="left" w:pos="540"/>
              </w:tabs>
              <w:spacing w:line="300" w:lineRule="exact"/>
              <w:ind w:left="201" w:hanging="211" w:hangingChars="100"/>
              <w:rPr>
                <w:rFonts w:ascii="宋体" w:hAnsi="宋体"/>
                <w:b/>
                <w:color w:val="auto"/>
                <w:sz w:val="21"/>
                <w:szCs w:val="21"/>
                <w:u w:val="single"/>
              </w:rPr>
            </w:pPr>
            <w:r>
              <w:rPr>
                <w:rFonts w:hint="eastAsia" w:ascii="宋体" w:hAnsi="宋体"/>
                <w:b/>
                <w:color w:val="auto"/>
                <w:sz w:val="21"/>
                <w:szCs w:val="21"/>
              </w:rPr>
              <w:t>其中关键过程有：服务过程。</w:t>
            </w:r>
          </w:p>
          <w:p>
            <w:pPr>
              <w:tabs>
                <w:tab w:val="left" w:pos="540"/>
              </w:tabs>
              <w:spacing w:line="300" w:lineRule="exact"/>
              <w:ind w:left="211" w:hanging="211" w:hangingChars="100"/>
              <w:rPr>
                <w:rFonts w:ascii="宋体" w:hAnsi="宋体"/>
                <w:b/>
                <w:color w:val="auto"/>
                <w:sz w:val="21"/>
                <w:szCs w:val="21"/>
              </w:rPr>
            </w:pPr>
            <w:r>
              <w:rPr>
                <w:rFonts w:hint="eastAsia" w:ascii="宋体" w:hAnsi="宋体"/>
                <w:b/>
                <w:color w:val="auto"/>
                <w:sz w:val="21"/>
                <w:szCs w:val="21"/>
              </w:rPr>
              <w:t>需要确认过程：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eastAsia="宋体" w:cs="Times New Roman"/>
                <w:sz w:val="21"/>
                <w:szCs w:val="21"/>
                <w:u w:val="single"/>
              </w:rPr>
              <w:t>公司服务流程和模式已经成熟，没有开发新的管理模式和流程，公司主要依据业主的要求，实施服务的采购和销售，以往的管理方式及所提供的服务已经得到业主认可。服务过程较简单，未涉及设计开发过程</w:t>
            </w:r>
            <w:r>
              <w:rPr>
                <w:rFonts w:hint="eastAsia" w:ascii="宋体" w:hAnsi="宋体" w:eastAsia="宋体" w:cs="Times New Roman"/>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 w:val="21"/>
                <w:szCs w:val="21"/>
              </w:rPr>
            </w:pPr>
            <w:r>
              <w:rPr>
                <w:rFonts w:hint="eastAsia" w:ascii="宋体" w:hAnsi="宋体"/>
                <w:b/>
                <w:sz w:val="21"/>
                <w:szCs w:val="21"/>
              </w:rPr>
              <w:t>法律法规的宣传方式：</w:t>
            </w:r>
          </w:p>
          <w:p>
            <w:pPr>
              <w:pStyle w:val="12"/>
              <w:numPr>
                <w:ilvl w:val="0"/>
                <w:numId w:val="3"/>
              </w:numPr>
              <w:tabs>
                <w:tab w:val="left" w:pos="540"/>
              </w:tabs>
              <w:spacing w:line="300" w:lineRule="exact"/>
              <w:ind w:firstLineChars="0"/>
              <w:rPr>
                <w:rFonts w:ascii="宋体" w:hAnsi="宋体"/>
                <w:b/>
                <w:sz w:val="21"/>
                <w:szCs w:val="21"/>
              </w:rPr>
            </w:pPr>
            <w:r>
              <w:rPr>
                <w:rFonts w:hint="eastAsia" w:ascii="宋体" w:hAnsi="宋体"/>
                <w:b/>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w:t>
            </w:r>
            <w:r>
              <w:rPr>
                <w:rFonts w:hint="eastAsia" w:ascii="Times New Roman" w:hAnsi="Times New Roman" w:eastAsia="宋体" w:cs="Times New Roman"/>
                <w:sz w:val="21"/>
                <w:szCs w:val="21"/>
                <w:lang w:eastAsia="zh-CN"/>
              </w:rPr>
              <w:t>、</w:t>
            </w:r>
            <w:r>
              <w:rPr>
                <w:rFonts w:hint="eastAsia" w:asciiTheme="minorEastAsia" w:hAnsiTheme="minorEastAsia" w:eastAsiaTheme="minorEastAsia" w:cstheme="minorEastAsia"/>
                <w:sz w:val="21"/>
                <w:szCs w:val="21"/>
              </w:rPr>
              <w:t>环境、职业健康安全目标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 xml:space="preserve">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 xml:space="preserve">1．客户满意度≥85分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 xml:space="preserve">2. 死亡事故发生率为0 </w:t>
            </w:r>
          </w:p>
          <w:p>
            <w:pPr>
              <w:tabs>
                <w:tab w:val="left" w:pos="3731"/>
              </w:tabs>
              <w:adjustRightInd w:val="0"/>
              <w:snapToGrid w:val="0"/>
              <w:spacing w:line="312" w:lineRule="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 xml:space="preserve">3.对固体废弃物合规处置率100% </w:t>
            </w:r>
          </w:p>
          <w:p>
            <w:pPr>
              <w:tabs>
                <w:tab w:val="left" w:pos="3731"/>
              </w:tabs>
              <w:adjustRightInd w:val="0"/>
              <w:snapToGrid w:val="0"/>
              <w:spacing w:line="312" w:lineRule="auto"/>
              <w:rPr>
                <w:rFonts w:ascii="宋体" w:hAnsi="宋体"/>
                <w:b/>
                <w:sz w:val="21"/>
                <w:szCs w:val="21"/>
              </w:rPr>
            </w:pPr>
            <w:r>
              <w:rPr>
                <w:rFonts w:hint="eastAsia" w:ascii="宋体" w:hAnsi="宋体" w:eastAsia="宋体" w:cs="Times New Roman"/>
                <w:color w:val="000000"/>
                <w:sz w:val="21"/>
                <w:szCs w:val="21"/>
              </w:rPr>
              <w:t xml:space="preserve">4.火灾事故发生率为0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8</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ind w:firstLine="525" w:firstLineChars="250"/>
              <w:rPr>
                <w:rFonts w:ascii="宋体" w:hAnsi="宋体"/>
                <w:b/>
                <w:sz w:val="21"/>
                <w:szCs w:val="21"/>
              </w:rPr>
            </w:pPr>
            <w:r>
              <w:rPr>
                <w:rFonts w:hint="eastAsia" w:ascii="宋体" w:hAnsi="宋体" w:cs="宋体"/>
                <w:color w:val="000000" w:themeColor="text1"/>
                <w:sz w:val="21"/>
                <w:szCs w:val="21"/>
                <w14:textFill>
                  <w14:solidFill>
                    <w14:schemeClr w14:val="tx1"/>
                  </w14:solidFill>
                </w14:textFill>
              </w:rPr>
              <w:t>办公面积</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00平方左右，主要生产</w:t>
            </w:r>
            <w:r>
              <w:rPr>
                <w:rFonts w:hint="eastAsia" w:ascii="宋体" w:hAnsi="宋体" w:cs="宋体"/>
                <w:color w:val="auto"/>
                <w:sz w:val="21"/>
                <w:szCs w:val="21"/>
              </w:rPr>
              <w:t>设备包括：</w:t>
            </w:r>
            <w:r>
              <w:rPr>
                <w:color w:val="auto"/>
              </w:rPr>
              <w:t>电脑及办公设备（打印机、复印机、空调等）、</w:t>
            </w:r>
            <w:r>
              <w:rPr>
                <w:rFonts w:hint="eastAsia"/>
                <w:color w:val="auto"/>
                <w:highlight w:val="none"/>
                <w:lang w:val="en-US" w:eastAsia="zh-CN"/>
              </w:rPr>
              <w:t>洗地机、绿篱机、扫地机、吹风机、角磨机、手电钻、</w:t>
            </w:r>
            <w:r>
              <w:rPr>
                <w:color w:val="auto"/>
              </w:rPr>
              <w:t>对讲机</w:t>
            </w:r>
            <w:r>
              <w:rPr>
                <w:rFonts w:hint="eastAsia"/>
                <w:color w:val="auto"/>
              </w:rPr>
              <w:t>、手电</w:t>
            </w:r>
            <w:r>
              <w:rPr>
                <w:color w:val="auto"/>
              </w:rPr>
              <w:t>等</w:t>
            </w:r>
            <w:r>
              <w:rPr>
                <w:rFonts w:hint="eastAsia" w:ascii="宋体" w:hAnsi="宋体" w:cs="宋体"/>
                <w:color w:val="000000"/>
                <w:sz w:val="21"/>
                <w:szCs w:val="21"/>
              </w:rPr>
              <w:t>，可以满足</w:t>
            </w:r>
            <w:r>
              <w:rPr>
                <w:rFonts w:hint="eastAsia" w:ascii="宋体" w:hAnsi="宋体"/>
                <w:sz w:val="21"/>
                <w:szCs w:val="21"/>
                <w:lang w:val="de-DE"/>
              </w:rPr>
              <w:t>物业管理服务</w:t>
            </w:r>
            <w:r>
              <w:rPr>
                <w:rFonts w:hint="eastAsia" w:ascii="宋体" w:hAnsi="宋体" w:cs="宋体"/>
                <w:color w:val="000000"/>
                <w:sz w:val="21"/>
                <w:szCs w:val="21"/>
              </w:rPr>
              <w:t>需要。</w:t>
            </w:r>
            <w:r>
              <w:rPr>
                <w:rFonts w:hint="eastAsia" w:ascii="宋体" w:hAnsi="宋体" w:cs="宋体"/>
                <w:color w:val="000000"/>
                <w:sz w:val="21"/>
                <w:szCs w:val="21"/>
                <w:lang w:eastAsia="zh-CN"/>
              </w:rPr>
              <w:t>项目部</w:t>
            </w:r>
            <w:r>
              <w:rPr>
                <w:rFonts w:hint="eastAsia" w:ascii="宋体" w:hAnsi="宋体" w:cs="宋体"/>
                <w:sz w:val="21"/>
                <w:szCs w:val="21"/>
              </w:rPr>
              <w:t>对设备按月方式进行点检维护保养，并实施</w:t>
            </w:r>
            <w:r>
              <w:rPr>
                <w:rFonts w:hint="eastAsia" w:ascii="宋体" w:hAnsi="宋体" w:cs="宋体"/>
                <w:color w:val="000000"/>
                <w:sz w:val="21"/>
                <w:szCs w:val="21"/>
              </w:rPr>
              <w:t>。特种设备：</w:t>
            </w:r>
            <w:r>
              <w:rPr>
                <w:rFonts w:hint="eastAsia"/>
                <w:sz w:val="21"/>
                <w:szCs w:val="21"/>
              </w:rPr>
              <w:t>无</w:t>
            </w:r>
            <w:r>
              <w:rPr>
                <w:rFonts w:hint="eastAsia" w:ascii="宋体" w:hAnsi="宋体"/>
                <w:sz w:val="21"/>
                <w:szCs w:val="21"/>
              </w:rPr>
              <w:t>。</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办公区域内设备布置合理，照明设施齐全，均配备了灭火器、消防栓等设施。目前公司主要为客户提供</w:t>
            </w:r>
            <w:r>
              <w:rPr>
                <w:rFonts w:hint="eastAsia" w:ascii="宋体" w:hAnsi="宋体"/>
                <w:sz w:val="21"/>
                <w:szCs w:val="21"/>
                <w:lang w:val="de-DE"/>
              </w:rPr>
              <w:t>物业管理服务</w:t>
            </w:r>
            <w:r>
              <w:rPr>
                <w:rFonts w:hint="eastAsia" w:ascii="宋体" w:hAnsi="宋体"/>
                <w:sz w:val="21"/>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exact"/>
              <w:rPr>
                <w:rFonts w:ascii="宋体" w:hAnsi="宋体"/>
                <w:b/>
                <w:sz w:val="21"/>
                <w:szCs w:val="21"/>
              </w:rPr>
            </w:pPr>
            <w:bookmarkStart w:id="22" w:name="_GoBack"/>
            <w:bookmarkEnd w:id="22"/>
            <w:r>
              <w:rPr>
                <w:rFonts w:hint="eastAsia" w:ascii="宋体" w:hAnsi="宋体" w:cs="宋体"/>
                <w:sz w:val="21"/>
                <w:szCs w:val="21"/>
                <w:lang w:val="en-US" w:eastAsia="zh-CN"/>
              </w:rPr>
              <w:t>数字钳形表</w:t>
            </w:r>
            <w:r>
              <w:rPr>
                <w:rFonts w:hint="eastAsia" w:ascii="宋体" w:hAnsi="宋体" w:eastAsia="宋体" w:cs="宋体"/>
                <w:sz w:val="21"/>
                <w:szCs w:val="21"/>
                <w:lang w:val="en-US" w:eastAsia="zh-CN"/>
              </w:rPr>
              <w:t>。不能提供</w:t>
            </w:r>
            <w:r>
              <w:rPr>
                <w:rFonts w:hint="eastAsia" w:ascii="宋体" w:hAnsi="宋体" w:cs="宋体"/>
                <w:sz w:val="21"/>
                <w:szCs w:val="21"/>
                <w:lang w:val="en-US" w:eastAsia="zh-CN"/>
              </w:rPr>
              <w:t>数字钳形表</w:t>
            </w:r>
            <w:r>
              <w:rPr>
                <w:rFonts w:hint="eastAsia" w:ascii="宋体" w:hAnsi="宋体" w:eastAsia="宋体" w:cs="宋体"/>
                <w:sz w:val="21"/>
                <w:szCs w:val="21"/>
                <w:lang w:val="en-US" w:eastAsia="zh-CN"/>
              </w:rPr>
              <w:t>的有效校准报告。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w:t>
            </w:r>
            <w:r>
              <w:rPr>
                <w:rFonts w:hint="eastAsia" w:ascii="宋体" w:hAnsi="宋体" w:eastAsia="宋体" w:cs="宋体"/>
                <w:color w:val="000000"/>
                <w:sz w:val="21"/>
                <w:szCs w:val="21"/>
              </w:rPr>
              <w:t>供方收集的知识）。</w:t>
            </w:r>
          </w:p>
          <w:p>
            <w:pPr>
              <w:spacing w:line="400" w:lineRule="exact"/>
              <w:ind w:firstLine="315" w:firstLineChars="150"/>
              <w:rPr>
                <w:rFonts w:ascii="宋体" w:hAnsi="宋体"/>
                <w:b/>
                <w:sz w:val="21"/>
                <w:szCs w:val="21"/>
              </w:rPr>
            </w:pPr>
            <w:r>
              <w:rPr>
                <w:rFonts w:hint="eastAsia" w:ascii="宋体" w:hAnsi="宋体" w:eastAsia="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hint="eastAsia" w:ascii="宋体" w:hAnsi="宋体"/>
                <w:b w:val="0"/>
                <w:bCs/>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sz w:val="21"/>
                <w:szCs w:val="21"/>
              </w:rPr>
            </w:pPr>
            <w:r>
              <w:rPr>
                <w:rFonts w:hint="eastAsia" w:ascii="楷体_GB2312" w:eastAsia="楷体_GB2312"/>
                <w:b/>
                <w:sz w:val="21"/>
                <w:szCs w:val="21"/>
              </w:rPr>
              <w:t>外部信息的接收、成文并答复的情况（</w:t>
            </w:r>
            <w:r>
              <w:rPr>
                <w:rFonts w:ascii="楷体_GB2312" w:eastAsia="楷体_GB2312"/>
                <w:b/>
                <w:sz w:val="21"/>
                <w:szCs w:val="21"/>
              </w:rPr>
              <w:t>E</w:t>
            </w:r>
            <w:r>
              <w:rPr>
                <w:rFonts w:hint="eastAsia" w:ascii="楷体_GB2312" w:eastAsia="楷体_GB2312"/>
                <w:b/>
                <w:sz w:val="21"/>
                <w:szCs w:val="21"/>
              </w:rPr>
              <w:t>、</w:t>
            </w:r>
            <w:r>
              <w:rPr>
                <w:rFonts w:ascii="楷体_GB2312" w:eastAsia="楷体_GB2312"/>
                <w:b/>
                <w:sz w:val="21"/>
                <w:szCs w:val="21"/>
              </w:rPr>
              <w:t>S</w:t>
            </w:r>
            <w:r>
              <w:rPr>
                <w:rFonts w:hint="eastAsia" w:ascii="楷体_GB2312" w:eastAsia="楷体_GB2312"/>
                <w:b/>
                <w:sz w:val="21"/>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 w:val="21"/>
                <w:szCs w:val="21"/>
              </w:rPr>
            </w:pPr>
            <w:r>
              <w:rPr>
                <w:rFonts w:hint="eastAsia" w:ascii="楷体_GB2312" w:eastAsia="楷体_GB2312"/>
                <w:b/>
                <w:sz w:val="21"/>
                <w:szCs w:val="21"/>
              </w:rPr>
              <w:t>重要环境因素信息对外交流情况（</w:t>
            </w:r>
            <w:r>
              <w:rPr>
                <w:rFonts w:ascii="楷体_GB2312" w:eastAsia="楷体_GB2312"/>
                <w:b/>
                <w:sz w:val="21"/>
                <w:szCs w:val="21"/>
              </w:rPr>
              <w:t>EMS</w:t>
            </w:r>
            <w:r>
              <w:rPr>
                <w:rFonts w:hint="eastAsia" w:ascii="楷体_GB2312" w:eastAsia="楷体_GB2312"/>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 w:val="21"/>
                <w:szCs w:val="21"/>
              </w:rPr>
            </w:pPr>
            <w:r>
              <w:rPr>
                <w:rFonts w:ascii="楷体_GB2312" w:eastAsia="楷体_GB2312"/>
                <w:b/>
                <w:sz w:val="21"/>
                <w:szCs w:val="21"/>
              </w:rPr>
              <w:t>OHSMS</w:t>
            </w:r>
            <w:r>
              <w:rPr>
                <w:rFonts w:hint="eastAsia" w:ascii="楷体_GB2312" w:eastAsia="楷体_GB2312"/>
                <w:b/>
                <w:sz w:val="21"/>
                <w:szCs w:val="21"/>
              </w:rPr>
              <w:t>事务代表协商和交流的情况（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宋体" w:hAnsi="宋体"/>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210" w:firstLineChars="1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 w:val="21"/>
                <w:szCs w:val="21"/>
              </w:rPr>
            </w:pPr>
            <w:r>
              <w:rPr>
                <w:rFonts w:hint="eastAsia" w:ascii="宋体" w:hAnsi="宋体" w:cs="宋体"/>
                <w:color w:val="000000"/>
                <w:sz w:val="21"/>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jc w:val="left"/>
              <w:rPr>
                <w:rFonts w:ascii="宋体" w:hAnsi="宋体"/>
                <w:b/>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潜在火灾、固废排放等</w:t>
            </w:r>
            <w:r>
              <w:rPr>
                <w:rFonts w:hint="eastAsia" w:asciiTheme="minorEastAsia" w:hAnsiTheme="minorEastAsia" w:eastAsiaTheme="minorEastAsia"/>
                <w:bCs/>
                <w:iCs/>
                <w:sz w:val="21"/>
                <w:szCs w:val="21"/>
              </w:rPr>
              <w:t>，需要应对的风险和机遇相关的过程为</w:t>
            </w:r>
            <w:r>
              <w:rPr>
                <w:rFonts w:hint="eastAsia" w:asciiTheme="minorEastAsia" w:hAnsiTheme="minorEastAsia" w:eastAsiaTheme="minorEastAsia"/>
                <w:bCs/>
                <w:iCs/>
                <w:sz w:val="21"/>
                <w:szCs w:val="21"/>
                <w:lang w:val="en-US" w:eastAsia="zh-CN"/>
              </w:rPr>
              <w:t>物业管理</w:t>
            </w:r>
            <w:r>
              <w:rPr>
                <w:rFonts w:hint="eastAsia" w:asciiTheme="minorEastAsia" w:hAnsiTheme="minorEastAsia" w:eastAsiaTheme="minorEastAsia"/>
                <w:bCs/>
                <w:iCs/>
                <w:sz w:val="21"/>
                <w:szCs w:val="21"/>
              </w:rPr>
              <w:t>、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火灾、</w:t>
            </w:r>
            <w:r>
              <w:rPr>
                <w:rFonts w:hint="eastAsia"/>
                <w:sz w:val="21"/>
                <w:szCs w:val="21"/>
                <w:lang w:val="en-US" w:eastAsia="zh-CN"/>
              </w:rPr>
              <w:t>意外伤害</w:t>
            </w:r>
            <w:r>
              <w:rPr>
                <w:rFonts w:hint="eastAsia" w:ascii="宋体" w:hAnsi="宋体"/>
                <w:sz w:val="21"/>
                <w:szCs w:val="21"/>
              </w:rPr>
              <w:t>等</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10" w:leftChars="100" w:firstLine="105" w:firstLineChars="50"/>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w:t>
            </w:r>
            <w:r>
              <w:rPr>
                <w:rFonts w:hint="eastAsia" w:ascii="宋体" w:hAnsi="宋体" w:cs="宋体"/>
                <w:color w:val="auto"/>
                <w:sz w:val="21"/>
                <w:szCs w:val="21"/>
              </w:rPr>
              <w:t>了规定的目标值。通过20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月-2020年</w:t>
            </w:r>
            <w:r>
              <w:rPr>
                <w:rFonts w:hint="eastAsia" w:ascii="宋体" w:hAnsi="宋体" w:cs="宋体"/>
                <w:color w:val="auto"/>
                <w:sz w:val="21"/>
                <w:szCs w:val="21"/>
                <w:lang w:val="en-US" w:eastAsia="zh-CN"/>
              </w:rPr>
              <w:t>12</w:t>
            </w:r>
            <w:r>
              <w:rPr>
                <w:rFonts w:hint="eastAsia" w:ascii="宋体" w:hAnsi="宋体" w:cs="宋体"/>
                <w:color w:val="auto"/>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05"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w:t>
            </w:r>
            <w:r>
              <w:rPr>
                <w:rFonts w:hint="eastAsia" w:ascii="宋体" w:hAnsi="宋体" w:cs="宋体"/>
                <w:color w:val="auto"/>
                <w:sz w:val="21"/>
                <w:szCs w:val="21"/>
              </w:rPr>
              <w:t>度调查按规定实施，2020年</w:t>
            </w:r>
            <w:r>
              <w:rPr>
                <w:rFonts w:hint="eastAsia" w:ascii="宋体" w:hAnsi="宋体" w:cs="宋体"/>
                <w:color w:val="auto"/>
                <w:sz w:val="21"/>
                <w:szCs w:val="21"/>
                <w:lang w:val="en-US" w:eastAsia="zh-CN"/>
              </w:rPr>
              <w:t>10</w:t>
            </w:r>
            <w:r>
              <w:rPr>
                <w:rFonts w:hint="eastAsia" w:ascii="宋体" w:hAnsi="宋体" w:cs="宋体"/>
                <w:color w:val="auto"/>
                <w:sz w:val="21"/>
                <w:szCs w:val="21"/>
              </w:rPr>
              <w:t>月实施，满意度评价9</w:t>
            </w:r>
            <w:r>
              <w:rPr>
                <w:rFonts w:hint="eastAsia" w:ascii="宋体" w:hAnsi="宋体" w:cs="宋体"/>
                <w:color w:val="auto"/>
                <w:sz w:val="21"/>
                <w:szCs w:val="21"/>
                <w:lang w:val="en-US" w:eastAsia="zh-CN"/>
              </w:rPr>
              <w:t>0</w:t>
            </w:r>
            <w:r>
              <w:rPr>
                <w:rFonts w:hint="eastAsia" w:ascii="宋体" w:hAnsi="宋体" w:cs="宋体"/>
                <w:color w:val="auto"/>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建立有《内部审核控制程序》，规定了内审频次一年一次，内审时间：</w:t>
            </w:r>
            <w:r>
              <w:rPr>
                <w:rFonts w:hint="eastAsia" w:ascii="宋体" w:hAnsi="宋体"/>
                <w:sz w:val="21"/>
                <w:szCs w:val="21"/>
              </w:rPr>
              <w:t>2020年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w:t>
            </w:r>
            <w:r>
              <w:rPr>
                <w:rFonts w:hint="eastAsia" w:ascii="宋体" w:hAnsi="宋体"/>
                <w:sz w:val="21"/>
                <w:szCs w:val="21"/>
              </w:rPr>
              <w:t>8日</w:t>
            </w:r>
            <w:r>
              <w:rPr>
                <w:rFonts w:hint="eastAsia" w:ascii="宋体" w:hAnsi="宋体" w:cs="宋体"/>
                <w:sz w:val="21"/>
                <w:szCs w:val="21"/>
              </w:rPr>
              <w:t>，拟定了审核实施表，明确了内审范围，内审人员经培训合格上岗，能力满足要求，未出现审核本部门情况，内审不符合项</w:t>
            </w:r>
            <w:r>
              <w:rPr>
                <w:rFonts w:hint="eastAsia" w:ascii="宋体" w:hAnsi="宋体" w:cs="宋体"/>
                <w:sz w:val="21"/>
                <w:szCs w:val="21"/>
                <w:lang w:val="en-US" w:eastAsia="zh-CN"/>
              </w:rPr>
              <w:t>1</w:t>
            </w:r>
            <w:r>
              <w:rPr>
                <w:rFonts w:hint="eastAsia" w:ascii="宋体" w:hAnsi="宋体" w:cs="宋体"/>
                <w:sz w:val="21"/>
                <w:szCs w:val="21"/>
              </w:rPr>
              <w:t>项，</w:t>
            </w:r>
            <w:r>
              <w:rPr>
                <w:rFonts w:hint="eastAsia" w:ascii="宋体" w:hAnsi="宋体"/>
                <w:sz w:val="21"/>
                <w:szCs w:val="21"/>
              </w:rPr>
              <w:t>涉</w:t>
            </w:r>
            <w:r>
              <w:rPr>
                <w:rFonts w:hint="eastAsia" w:ascii="宋体" w:hAnsi="宋体" w:eastAsia="宋体" w:cs="Times New Roman"/>
                <w:sz w:val="21"/>
                <w:szCs w:val="21"/>
              </w:rPr>
              <w:t>及</w:t>
            </w:r>
            <w:r>
              <w:rPr>
                <w:rFonts w:hint="eastAsia" w:ascii="宋体" w:hAnsi="宋体" w:eastAsia="宋体" w:cs="Times New Roman"/>
                <w:sz w:val="21"/>
                <w:szCs w:val="21"/>
                <w:lang w:eastAsia="zh-CN"/>
              </w:rPr>
              <w:t>综合部</w:t>
            </w:r>
            <w:r>
              <w:rPr>
                <w:rFonts w:hint="eastAsia" w:ascii="宋体" w:hAnsi="宋体" w:eastAsia="宋体" w:cs="Times New Roman"/>
                <w:sz w:val="21"/>
                <w:szCs w:val="21"/>
              </w:rPr>
              <w:t>E</w:t>
            </w:r>
            <w:r>
              <w:rPr>
                <w:rFonts w:hint="eastAsia" w:ascii="宋体" w:hAnsi="宋体" w:eastAsia="宋体" w:cs="Times New Roman"/>
                <w:sz w:val="21"/>
                <w:szCs w:val="21"/>
                <w:lang w:val="en-US" w:eastAsia="zh-CN"/>
              </w:rPr>
              <w:t>8.1</w:t>
            </w:r>
            <w:r>
              <w:rPr>
                <w:rFonts w:hint="eastAsia" w:ascii="宋体" w:hAnsi="宋体" w:eastAsia="宋体" w:cs="Times New Roman"/>
                <w:sz w:val="21"/>
                <w:szCs w:val="21"/>
              </w:rPr>
              <w:t>条款查办公室卫生不整洁，地面未及时处理</w:t>
            </w:r>
            <w:r>
              <w:rPr>
                <w:rFonts w:hint="eastAsia" w:ascii="宋体" w:hAnsi="宋体"/>
                <w:sz w:val="21"/>
                <w:szCs w:val="21"/>
              </w:rPr>
              <w:t>，</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管理评审频次为一年一次、本次管理评审于2020年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15</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6"/>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1"/>
                <w:szCs w:val="21"/>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1"/>
                <w:szCs w:val="21"/>
              </w:rPr>
            </w:pPr>
            <w:r>
              <w:rPr>
                <w:rFonts w:hint="eastAsia"/>
                <w:b/>
                <w:color w:val="000000" w:themeColor="text1"/>
                <w:sz w:val="21"/>
                <w:szCs w:val="21"/>
              </w:rPr>
              <w:t>(5)持续改进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rFonts w:ascii="宋体" w:hAnsi="宋体"/>
                <w:b/>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一阶段提出问题的整改情况?</w:t>
            </w:r>
          </w:p>
          <w:p>
            <w:pPr>
              <w:spacing w:line="240" w:lineRule="exact"/>
              <w:rPr>
                <w:rFonts w:hint="default" w:ascii="宋体" w:hAnsi="宋体" w:eastAsia="宋体"/>
                <w:b/>
                <w:sz w:val="21"/>
                <w:szCs w:val="21"/>
                <w:lang w:val="en-US" w:eastAsia="zh-CN"/>
              </w:rPr>
            </w:pPr>
            <w:r>
              <w:rPr>
                <w:rFonts w:hint="eastAsia"/>
                <w:lang w:eastAsia="zh-CN"/>
              </w:rPr>
              <w:t>数字钳形表</w:t>
            </w:r>
            <w:r>
              <w:rPr>
                <w:rFonts w:hint="eastAsia"/>
              </w:rPr>
              <w:t>，</w:t>
            </w:r>
            <w:r>
              <w:rPr>
                <w:rFonts w:hint="eastAsia"/>
                <w:szCs w:val="21"/>
              </w:rPr>
              <w:t>采取委外校准或检定，不能提供有效校准或检定证书</w:t>
            </w:r>
            <w:r>
              <w:rPr>
                <w:rFonts w:hint="eastAsia"/>
                <w:szCs w:val="21"/>
                <w:lang w:eastAsia="zh-CN"/>
              </w:rPr>
              <w:t>。</w:t>
            </w:r>
            <w:r>
              <w:rPr>
                <w:rFonts w:hint="eastAsia"/>
                <w:szCs w:val="21"/>
                <w:lang w:val="en-US" w:eastAsia="zh-CN"/>
              </w:rPr>
              <w:t>一阶段不符合，二阶段审核时未得到有效整改。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ind w:left="-105" w:leftChars="-50" w:firstLine="422" w:firstLineChars="200"/>
              <w:rPr>
                <w:rFonts w:ascii="宋体" w:hAnsi="宋体"/>
                <w:b/>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ind w:left="-105" w:leftChars="-50" w:firstLine="422" w:firstLineChars="200"/>
              <w:rPr>
                <w:b/>
                <w:color w:val="000000" w:themeColor="text1"/>
                <w:sz w:val="21"/>
                <w:szCs w:val="21"/>
              </w:rPr>
            </w:pPr>
            <w:r>
              <w:rPr>
                <w:rFonts w:hint="eastAsia"/>
                <w:b/>
                <w:color w:val="000000" w:themeColor="text1"/>
                <w:sz w:val="2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FF0000"/>
        </w:rPr>
      </w:pPr>
      <w:r>
        <w:rPr>
          <w:rFonts w:hint="eastAsia"/>
          <w:b/>
          <w:color w:val="000000" w:themeColor="text1"/>
        </w:rPr>
        <w:t xml:space="preserve">1. </w:t>
      </w:r>
      <w:r>
        <w:rPr>
          <w:rFonts w:hint="eastAsia"/>
          <w:b/>
          <w:color w:val="auto"/>
        </w:rPr>
        <w:t>本次审核共开具不符合项报告项；其中</w:t>
      </w:r>
      <w:r>
        <w:rPr>
          <w:b/>
          <w:color w:val="auto"/>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w:t>
      </w:r>
      <w:r>
        <w:rPr>
          <w:rFonts w:hint="eastAsia"/>
          <w:b/>
          <w:color w:val="auto"/>
          <w:lang w:eastAsia="zh-CN"/>
        </w:rPr>
        <w:t>。</w:t>
      </w:r>
      <w:r>
        <w:rPr>
          <w:rFonts w:hint="eastAsia"/>
          <w:b/>
          <w:color w:val="auto"/>
        </w:rPr>
        <w:t>分布在</w:t>
      </w:r>
      <w:r>
        <w:rPr>
          <w:rFonts w:hint="eastAsia"/>
          <w:b/>
          <w:color w:val="auto"/>
          <w:lang w:val="en-US" w:eastAsia="zh-CN"/>
        </w:rPr>
        <w:t>项目</w:t>
      </w:r>
      <w:r>
        <w:rPr>
          <w:rFonts w:hint="eastAsia"/>
          <w:b/>
          <w:color w:val="auto"/>
        </w:rPr>
        <w:t>部门</w:t>
      </w:r>
      <w:r>
        <w:rPr>
          <w:rFonts w:hint="eastAsia"/>
          <w:b/>
          <w:color w:val="auto"/>
          <w:lang w:val="en-US" w:eastAsia="zh-CN"/>
        </w:rPr>
        <w:t>Q7.1.5</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tabs>
                <w:tab w:val="left" w:pos="2552"/>
              </w:tabs>
              <w:spacing w:beforeLines="50" w:afterLines="50" w:line="280" w:lineRule="exact"/>
              <w:rPr>
                <w:b/>
                <w:color w:val="000000" w:themeColor="text1"/>
                <w:sz w:val="22"/>
                <w:szCs w:val="22"/>
              </w:rPr>
            </w:pPr>
            <w:r>
              <w:rPr>
                <w:rFonts w:hint="eastAsia"/>
                <w:b/>
                <w:color w:val="000000" w:themeColor="text1"/>
                <w:sz w:val="22"/>
                <w:szCs w:val="22"/>
              </w:rPr>
              <w:t>（</w:t>
            </w:r>
            <w:r>
              <w:rPr>
                <w:rFonts w:hint="eastAsia" w:ascii="微软雅黑" w:hAnsi="微软雅黑" w:eastAsia="微软雅黑"/>
                <w:bCs/>
                <w:szCs w:val="24"/>
              </w:rPr>
              <w:t>综上所述，审核组一致认为，</w:t>
            </w:r>
            <w:r>
              <w:rPr>
                <w:rFonts w:hint="eastAsia" w:ascii="微软雅黑" w:hAnsi="微软雅黑" w:eastAsia="微软雅黑" w:cs="Times New Roman"/>
                <w:bCs/>
                <w:szCs w:val="24"/>
              </w:rPr>
              <w:t>（重庆年年有余物业管理有限公司）的</w:t>
            </w:r>
            <w:r>
              <w:rPr>
                <w:rFonts w:hint="eastAsia" w:ascii="微软雅黑" w:hAnsi="微软雅黑" w:eastAsia="微软雅黑"/>
                <w:bCs/>
                <w:szCs w:val="24"/>
              </w:rPr>
              <w:t>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管理体系适宜、充分、得到良好的实施和保持，体系运行持续有效。</w:t>
            </w:r>
            <w:r>
              <w:rPr>
                <w:rFonts w:hint="eastAsia"/>
                <w:b/>
                <w:color w:val="000000" w:themeColor="text1"/>
                <w:sz w:val="22"/>
                <w:szCs w:val="22"/>
              </w:rPr>
              <w:t>）</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r>
              <w:rPr>
                <w:rFonts w:hint="eastAsia" w:ascii="宋体" w:hAnsi="宋体"/>
                <w:szCs w:val="21"/>
              </w:rPr>
              <w:t>物业管理服务</w:t>
            </w:r>
          </w:p>
          <w:p>
            <w:pPr>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物业管理服务所涉及场所的相关环境管理活动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物业管理服务所涉及场所的相关职业健康安全管理活动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701248" behindDoc="0" locked="0" layoutInCell="1" allowOverlap="1">
            <wp:simplePos x="0" y="0"/>
            <wp:positionH relativeFrom="column">
              <wp:posOffset>1555750</wp:posOffset>
            </wp:positionH>
            <wp:positionV relativeFrom="paragraph">
              <wp:posOffset>379095</wp:posOffset>
            </wp:positionV>
            <wp:extent cx="602615" cy="375920"/>
            <wp:effectExtent l="0" t="0" r="6985" b="5080"/>
            <wp:wrapNone/>
            <wp:docPr id="3"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Administrator\Desktop\新文档 2020-01-09 10.59.53_副本.jpg"/>
                    <pic:cNvPicPr>
                      <a:picLocks noChangeAspect="1"/>
                    </pic:cNvPicPr>
                  </pic:nvPicPr>
                  <pic:blipFill>
                    <a:blip r:embed="rId6"/>
                    <a:stretch>
                      <a:fillRect/>
                    </a:stretch>
                  </pic:blipFill>
                  <pic:spPr>
                    <a:xfrm>
                      <a:off x="0" y="0"/>
                      <a:ext cx="602615" cy="37592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eastAsia="宋体" w:cs="Times New Roman"/>
          <w:kern w:val="2"/>
          <w:sz w:val="21"/>
          <w:szCs w:val="22"/>
          <w:lang w:val="en-US" w:eastAsia="zh-CN" w:bidi="ar-SA"/>
        </w:rPr>
        <w:drawing>
          <wp:anchor distT="0" distB="0" distL="114300" distR="114300" simplePos="0" relativeHeight="251767808" behindDoc="0" locked="0" layoutInCell="1" allowOverlap="1">
            <wp:simplePos x="0" y="0"/>
            <wp:positionH relativeFrom="column">
              <wp:posOffset>2938780</wp:posOffset>
            </wp:positionH>
            <wp:positionV relativeFrom="paragraph">
              <wp:posOffset>132080</wp:posOffset>
            </wp:positionV>
            <wp:extent cx="366395" cy="339725"/>
            <wp:effectExtent l="0" t="0" r="14605" b="10795"/>
            <wp:wrapNone/>
            <wp:docPr id="6"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45e69cce4380e02713697e955d1ffd9"/>
                    <pic:cNvPicPr>
                      <a:picLocks noChangeAspect="1"/>
                    </pic:cNvPicPr>
                  </pic:nvPicPr>
                  <pic:blipFill>
                    <a:blip r:embed="rId7"/>
                    <a:stretch>
                      <a:fillRect/>
                    </a:stretch>
                  </pic:blipFill>
                  <pic:spPr>
                    <a:xfrm>
                      <a:off x="0" y="0"/>
                      <a:ext cx="366395" cy="339725"/>
                    </a:xfrm>
                    <a:prstGeom prst="rect">
                      <a:avLst/>
                    </a:prstGeom>
                    <a:noFill/>
                    <a:ln>
                      <a:noFill/>
                    </a:ln>
                  </pic:spPr>
                </pic:pic>
              </a:graphicData>
            </a:graphic>
          </wp:anchor>
        </w:drawing>
      </w:r>
      <w:r>
        <w:rPr>
          <w:sz w:val="24"/>
        </w:rPr>
        <w:drawing>
          <wp:anchor distT="0" distB="0" distL="114300" distR="114300" simplePos="0" relativeHeight="251763712" behindDoc="0" locked="0" layoutInCell="1" allowOverlap="1">
            <wp:simplePos x="0" y="0"/>
            <wp:positionH relativeFrom="column">
              <wp:posOffset>2169795</wp:posOffset>
            </wp:positionH>
            <wp:positionV relativeFrom="paragraph">
              <wp:posOffset>61595</wp:posOffset>
            </wp:positionV>
            <wp:extent cx="590550" cy="426720"/>
            <wp:effectExtent l="0" t="0" r="3810" b="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801600" behindDoc="0" locked="0" layoutInCell="1" allowOverlap="1">
            <wp:simplePos x="0" y="0"/>
            <wp:positionH relativeFrom="column">
              <wp:posOffset>1617345</wp:posOffset>
            </wp:positionH>
            <wp:positionV relativeFrom="paragraph">
              <wp:posOffset>92710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9"/>
                    <a:stretch>
                      <a:fillRect/>
                    </a:stretch>
                  </pic:blipFill>
                  <pic:spPr>
                    <a:xfrm>
                      <a:off x="0" y="0"/>
                      <a:ext cx="422910" cy="32004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color w:val="000000"/>
          <w:szCs w:val="21"/>
        </w:rPr>
        <w:t>2021年01月2</w:t>
      </w:r>
      <w:r>
        <w:rPr>
          <w:rFonts w:hint="eastAsia"/>
          <w:color w:val="000000"/>
          <w:szCs w:val="21"/>
          <w:lang w:val="en-US" w:eastAsia="zh-CN"/>
        </w:rPr>
        <w:t>8</w:t>
      </w:r>
      <w:r>
        <w:rPr>
          <w:rFonts w:hint="eastAsia"/>
          <w:color w:val="000000"/>
          <w:szCs w:val="21"/>
        </w:rPr>
        <w:t>日</w:t>
      </w:r>
    </w:p>
    <w:p>
      <w:pPr>
        <w:spacing w:before="156" w:beforeLines="50" w:after="156" w:afterLines="50"/>
        <w:ind w:left="1" w:leftChars="-405" w:hanging="851" w:hangingChars="326"/>
        <w:rPr>
          <w:b/>
          <w:color w:val="auto"/>
          <w:sz w:val="26"/>
          <w:szCs w:val="26"/>
        </w:rPr>
      </w:pPr>
      <w:r>
        <w:rPr>
          <w:rFonts w:hint="eastAsia"/>
          <w:b/>
          <w:color w:val="000000" w:themeColor="text1"/>
          <w:sz w:val="26"/>
          <w:szCs w:val="26"/>
        </w:rPr>
        <w:t>十五、纠正措施验证结</w:t>
      </w:r>
      <w:r>
        <w:rPr>
          <w:rFonts w:hint="eastAsia"/>
          <w:b/>
          <w:color w:val="auto"/>
          <w:sz w:val="26"/>
          <w:szCs w:val="26"/>
        </w:rPr>
        <w:t>论：</w:t>
      </w:r>
    </w:p>
    <w:p>
      <w:pPr>
        <w:snapToGrid w:val="0"/>
        <w:spacing w:before="156" w:beforeLines="50" w:after="156" w:afterLines="50" w:line="360" w:lineRule="auto"/>
        <w:ind w:left="0" w:leftChars="-202" w:hanging="424" w:hangingChars="201"/>
        <w:rPr>
          <w:b/>
          <w:color w:val="auto"/>
          <w:sz w:val="26"/>
          <w:szCs w:val="26"/>
        </w:rPr>
      </w:pPr>
      <w:r>
        <w:rPr>
          <w:rFonts w:hint="eastAsia"/>
          <w:b/>
          <w:bCs/>
          <w:color w:val="auto"/>
          <w:szCs w:val="21"/>
        </w:rPr>
        <w:t>1.  审核中发现的</w:t>
      </w:r>
      <w:r>
        <w:rPr>
          <w:rFonts w:hint="eastAsia"/>
          <w:b/>
          <w:bCs/>
          <w:color w:val="auto"/>
          <w:szCs w:val="21"/>
          <w:lang w:eastAsia="zh-CN"/>
        </w:rPr>
        <w:t>■</w:t>
      </w:r>
      <w:r>
        <w:rPr>
          <w:rFonts w:hint="eastAsia"/>
          <w:b/>
          <w:color w:val="auto"/>
          <w:szCs w:val="21"/>
        </w:rPr>
        <w:t xml:space="preserve">QMS(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rPr>
        <w:t>□</w:t>
      </w:r>
      <w:r>
        <w:rPr>
          <w:rFonts w:hint="eastAsia"/>
          <w:b/>
          <w:color w:val="auto"/>
          <w:szCs w:val="21"/>
        </w:rPr>
        <w:t>EMS(   )个一般不符合，(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rPr>
        <w:t>□</w:t>
      </w:r>
      <w:r>
        <w:rPr>
          <w:rFonts w:hint="eastAsia"/>
          <w:b/>
          <w:color w:val="auto"/>
          <w:szCs w:val="21"/>
        </w:rPr>
        <w:t>OHSMS(   )个一般不符合，(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845632" behindDoc="0" locked="0" layoutInCell="1" allowOverlap="1">
            <wp:simplePos x="0" y="0"/>
            <wp:positionH relativeFrom="column">
              <wp:posOffset>834390</wp:posOffset>
            </wp:positionH>
            <wp:positionV relativeFrom="paragraph">
              <wp:posOffset>96520</wp:posOffset>
            </wp:positionV>
            <wp:extent cx="602615" cy="375920"/>
            <wp:effectExtent l="0" t="0" r="6985" b="5080"/>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pic:cNvPicPr>
                  </pic:nvPicPr>
                  <pic:blipFill>
                    <a:blip r:embed="rId6"/>
                    <a:stretch>
                      <a:fillRect/>
                    </a:stretch>
                  </pic:blipFill>
                  <pic:spPr>
                    <a:xfrm>
                      <a:off x="0" y="0"/>
                      <a:ext cx="602615" cy="375920"/>
                    </a:xfrm>
                    <a:prstGeom prst="rect">
                      <a:avLst/>
                    </a:prstGeom>
                    <a:noFill/>
                    <a:ln>
                      <a:noFill/>
                    </a:ln>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F14510"/>
    <w:rsid w:val="2F1F54AC"/>
    <w:rsid w:val="64DD062A"/>
    <w:rsid w:val="786A5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2021-01-28T06:00:14Z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