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重庆年年有余物业管理有限公司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_GoBack" w:colFirst="2" w:colLast="7"/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物业管理服务流程：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签订合同——确定物业管理服务区域——安排物业管理服务人员——分配物业管理区域——进行物业管理服务。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关键/确认过程：服务过程。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物业管理服务控制，包括服务方案制定、人员能力培训、服务过程监控，造成风险：顾客投诉。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7"/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潜在火灾、</w:t>
            </w:r>
            <w:r>
              <w:rPr>
                <w:rFonts w:hint="eastAsia" w:ascii="宋体" w:hAnsi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粉尘排放、</w:t>
            </w:r>
            <w:r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固废排放，采取分类收集、管理方案和预案措施管理。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《重庆市物业管理条例》、《重庆市物业服务收费管理办法》、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</w:rPr>
              <w:t>重庆市电梯维修使用管理办法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/>
                <w:color w:val="auto"/>
                <w:sz w:val="21"/>
                <w:szCs w:val="21"/>
              </w:rPr>
              <w:t>重庆市容环境卫生管理条例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color w:val="auto"/>
                <w:sz w:val="21"/>
                <w:szCs w:val="21"/>
              </w:rPr>
              <w:t>和合同协议等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检验项目：服务质量、及时性、投诉处理满意度。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</w:t>
            </w:r>
          </w:p>
        </w:tc>
      </w:tr>
      <w:bookmarkEnd w:id="5"/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111760</wp:posOffset>
            </wp:positionV>
            <wp:extent cx="568325" cy="320675"/>
            <wp:effectExtent l="0" t="0" r="10795" b="1460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152400</wp:posOffset>
            </wp:positionV>
            <wp:extent cx="568325" cy="363220"/>
            <wp:effectExtent l="0" t="0" r="10795" b="2540"/>
            <wp:wrapNone/>
            <wp:docPr id="3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2021.01.27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2021.01.27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71530A"/>
    <w:rsid w:val="6B9019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2021-01-28T05:58:54Z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