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eastAsia="zh-CN"/>
        </w:rPr>
      </w:pPr>
      <w:r>
        <w:rPr>
          <w:rFonts w:hint="eastAsia"/>
          <w:sz w:val="24"/>
          <w:szCs w:val="24"/>
        </w:rPr>
        <w:t>受审核部门：管理层、</w:t>
      </w:r>
      <w:r>
        <w:rPr>
          <w:rFonts w:hint="eastAsia"/>
          <w:sz w:val="24"/>
          <w:szCs w:val="24"/>
          <w:lang w:val="en-US" w:eastAsia="zh-CN"/>
        </w:rPr>
        <w:t>综合</w:t>
      </w:r>
      <w:r>
        <w:rPr>
          <w:rFonts w:hint="eastAsia"/>
          <w:sz w:val="24"/>
          <w:szCs w:val="24"/>
          <w:lang w:eastAsia="zh-CN"/>
        </w:rPr>
        <w:t>部、</w:t>
      </w:r>
      <w:r>
        <w:rPr>
          <w:rFonts w:hint="eastAsia"/>
          <w:sz w:val="24"/>
          <w:szCs w:val="24"/>
          <w:lang w:val="en-US" w:eastAsia="zh-CN"/>
        </w:rPr>
        <w:t>项目部。</w:t>
      </w:r>
    </w:p>
    <w:p>
      <w:pPr>
        <w:spacing w:line="480" w:lineRule="exact"/>
        <w:jc w:val="left"/>
        <w:rPr>
          <w:rFonts w:hint="eastAsia" w:ascii="隶书" w:hAnsi="宋体" w:eastAsia="隶书"/>
          <w:bCs/>
          <w:color w:val="000000"/>
          <w:sz w:val="36"/>
          <w:szCs w:val="36"/>
        </w:rPr>
      </w:pPr>
      <w:r>
        <w:rPr>
          <w:rFonts w:hint="eastAsia"/>
          <w:sz w:val="24"/>
          <w:szCs w:val="24"/>
        </w:rPr>
        <w:t>陪同人员：</w:t>
      </w:r>
      <w:r>
        <w:rPr>
          <w:rFonts w:hint="eastAsia" w:cs="Times New Roman"/>
          <w:sz w:val="24"/>
          <w:szCs w:val="24"/>
          <w:lang w:val="en-US" w:eastAsia="zh-CN"/>
        </w:rPr>
        <w:t>谭巧玲</w:t>
      </w:r>
      <w:r>
        <w:rPr>
          <w:rFonts w:hint="eastAsia"/>
          <w:sz w:val="24"/>
          <w:szCs w:val="24"/>
          <w:lang w:val="en-US" w:eastAsia="zh-CN"/>
        </w:rPr>
        <w:t xml:space="preserve">   </w:t>
      </w:r>
      <w:r>
        <w:rPr>
          <w:rFonts w:hint="eastAsia"/>
          <w:sz w:val="24"/>
          <w:szCs w:val="24"/>
        </w:rPr>
        <w:t>审核员：</w:t>
      </w:r>
      <w:r>
        <w:rPr>
          <w:rFonts w:hint="eastAsia"/>
          <w:sz w:val="24"/>
          <w:szCs w:val="24"/>
          <w:lang w:val="en-US" w:eastAsia="zh-CN"/>
        </w:rPr>
        <w:t xml:space="preserve">杨珍全、 冉景洲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25</w:t>
      </w:r>
      <w:r>
        <w:rPr>
          <w:rFonts w:hint="eastAsia"/>
          <w:sz w:val="24"/>
          <w:szCs w:val="24"/>
        </w:rPr>
        <w:t>日</w:t>
      </w:r>
    </w:p>
    <w:tbl>
      <w:tblPr>
        <w:tblStyle w:val="6"/>
        <w:tblW w:w="153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08"/>
        <w:gridCol w:w="114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632" w:type="dxa"/>
            <w:gridSpan w:val="3"/>
            <w:shd w:val="clear" w:color="auto" w:fill="E6E6E6"/>
            <w:vAlign w:val="center"/>
          </w:tcPr>
          <w:p>
            <w:pPr>
              <w:spacing w:line="0" w:lineRule="atLeast"/>
              <w:jc w:val="center"/>
              <w:rPr>
                <w:rFonts w:ascii="宋体" w:hAnsi="宋体"/>
                <w:szCs w:val="21"/>
              </w:rPr>
            </w:pPr>
            <w:r>
              <w:rPr>
                <w:rFonts w:hint="eastAsia"/>
                <w:sz w:val="24"/>
                <w:szCs w:val="24"/>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08"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40"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984"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508" w:type="dxa"/>
          </w:tcPr>
          <w:p>
            <w:pPr>
              <w:spacing w:line="0" w:lineRule="atLeast"/>
              <w:ind w:firstLine="420" w:firstLineChars="200"/>
              <w:jc w:val="left"/>
              <w:rPr>
                <w:rFonts w:hint="eastAsia"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重庆年年有余物业管理有限公司，公司成立于2013年，注册资本500万元。公司致力于专业化的物业管理服务。现有员工</w:t>
            </w:r>
            <w:r>
              <w:rPr>
                <w:rFonts w:hint="eastAsia" w:asciiTheme="minorEastAsia" w:hAnsiTheme="minorEastAsia" w:eastAsiaTheme="minorEastAsia" w:cstheme="minorEastAsia"/>
                <w:szCs w:val="21"/>
                <w:highlight w:val="none"/>
                <w:lang w:val="en-US" w:eastAsia="zh-CN"/>
              </w:rPr>
              <w:t>64</w:t>
            </w:r>
            <w:r>
              <w:rPr>
                <w:rFonts w:hint="eastAsia" w:asciiTheme="minorEastAsia" w:hAnsiTheme="minorEastAsia" w:eastAsiaTheme="minorEastAsia" w:cstheme="minorEastAsia"/>
                <w:szCs w:val="21"/>
                <w:highlight w:val="none"/>
                <w:lang w:val="zh-CN"/>
              </w:rPr>
              <w:t>人，目前经营情况良好。</w:t>
            </w:r>
          </w:p>
          <w:p>
            <w:pPr>
              <w:spacing w:line="0" w:lineRule="atLeast"/>
              <w:ind w:firstLine="420" w:firstLineChars="200"/>
              <w:jc w:val="left"/>
              <w:rPr>
                <w:rFonts w:asciiTheme="minorEastAsia" w:hAnsiTheme="minorEastAsia" w:eastAsiaTheme="minorEastAsia" w:cstheme="minorEastAsia"/>
                <w:szCs w:val="21"/>
              </w:rPr>
            </w:pPr>
          </w:p>
          <w:p>
            <w:pPr>
              <w:spacing w:line="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查见企业营业执照副本，企业经营范围包含认证产品，具备有效资格，详见复印件。</w:t>
            </w:r>
          </w:p>
          <w:p>
            <w:pPr>
              <w:spacing w:line="0" w:lineRule="atLeast"/>
              <w:ind w:firstLine="420" w:firstLineChars="200"/>
              <w:jc w:val="left"/>
              <w:rPr>
                <w:rFonts w:asciiTheme="minorEastAsia" w:hAnsiTheme="minorEastAsia" w:eastAsiaTheme="minorEastAsia" w:cstheme="minorEastAsia"/>
                <w:szCs w:val="21"/>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两</w:t>
            </w:r>
            <w:r>
              <w:rPr>
                <w:rFonts w:hint="eastAsia" w:ascii="宋体" w:hAnsi="宋体"/>
                <w:szCs w:val="21"/>
              </w:rPr>
              <w:t>个部门：</w:t>
            </w:r>
            <w:r>
              <w:rPr>
                <w:rFonts w:hint="eastAsia" w:ascii="宋体" w:hAnsi="宋体"/>
                <w:szCs w:val="21"/>
                <w:lang w:eastAsia="zh-CN"/>
              </w:rPr>
              <w:t>综合部</w:t>
            </w:r>
            <w:r>
              <w:rPr>
                <w:rFonts w:hint="eastAsia" w:ascii="宋体" w:hAnsi="宋体"/>
                <w:szCs w:val="21"/>
              </w:rPr>
              <w:t>、</w:t>
            </w:r>
            <w:r>
              <w:rPr>
                <w:rFonts w:hint="eastAsia" w:ascii="宋体" w:hAnsi="宋体"/>
                <w:szCs w:val="21"/>
                <w:lang w:val="en-US" w:eastAsia="zh-CN"/>
              </w:rPr>
              <w:t>项目</w:t>
            </w:r>
            <w:r>
              <w:rPr>
                <w:rFonts w:hint="eastAsia" w:ascii="宋体" w:hAnsi="宋体"/>
                <w:szCs w:val="21"/>
              </w:rPr>
              <w:t>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hanging="630" w:hangingChars="300"/>
              <w:jc w:val="left"/>
              <w:rPr>
                <w:rFonts w:hint="eastAsia" w:ascii="宋体" w:hAnsi="宋体"/>
                <w:szCs w:val="21"/>
              </w:rPr>
            </w:pPr>
            <w:r>
              <w:rPr>
                <w:rFonts w:hint="eastAsia" w:ascii="宋体" w:hAnsi="宋体"/>
                <w:szCs w:val="21"/>
              </w:rPr>
              <w:t>核实：</w:t>
            </w:r>
            <w:r>
              <w:rPr>
                <w:rFonts w:hint="eastAsia"/>
                <w:color w:val="000000"/>
                <w:szCs w:val="21"/>
                <w:lang w:val="de-DE"/>
              </w:rPr>
              <w:t>生产经营地址</w:t>
            </w:r>
            <w:r>
              <w:rPr>
                <w:rFonts w:hint="eastAsia" w:ascii="宋体" w:hAnsi="宋体"/>
                <w:szCs w:val="21"/>
              </w:rPr>
              <w:t>：</w:t>
            </w:r>
            <w:r>
              <w:rPr>
                <w:rFonts w:hint="eastAsia"/>
                <w:lang w:eastAsia="zh-CN"/>
              </w:rPr>
              <w:t>重庆市九龙坡区石杨路25-5-1、2、3、6、7、8、9号</w:t>
            </w:r>
            <w:r>
              <w:rPr>
                <w:rFonts w:hint="eastAsia"/>
              </w:rPr>
              <w:t>，与任务书一致</w:t>
            </w:r>
            <w:r>
              <w:rPr>
                <w:rFonts w:hint="eastAsia" w:ascii="宋体" w:hAnsi="宋体"/>
                <w:szCs w:val="21"/>
              </w:rPr>
              <w:t>。</w:t>
            </w:r>
          </w:p>
          <w:p>
            <w:pPr>
              <w:spacing w:line="240" w:lineRule="atLeast"/>
              <w:ind w:left="630" w:hanging="630" w:hangingChars="300"/>
              <w:jc w:val="left"/>
              <w:rPr>
                <w:rFonts w:hint="default" w:ascii="宋体" w:hAnsi="宋体" w:eastAsia="宋体"/>
                <w:szCs w:val="21"/>
                <w:lang w:val="en-US" w:eastAsia="zh-CN"/>
              </w:rPr>
            </w:pPr>
            <w:r>
              <w:rPr>
                <w:rFonts w:hint="eastAsia" w:ascii="宋体" w:hAnsi="宋体"/>
                <w:szCs w:val="21"/>
                <w:lang w:val="en-US" w:eastAsia="zh-CN"/>
              </w:rPr>
              <w:t>临时场所：</w:t>
            </w:r>
            <w:r>
              <w:rPr>
                <w:rFonts w:hint="eastAsia"/>
                <w:color w:val="000000"/>
                <w:lang w:val="en-US" w:eastAsia="zh-CN"/>
              </w:rPr>
              <w:t>重庆市沙坪坝区凤天大道154号。</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rFonts w:ascii="宋体" w:hAnsi="宋体"/>
                <w:szCs w:val="21"/>
              </w:rPr>
            </w:pPr>
            <w:r>
              <w:rPr>
                <w:rFonts w:ascii="宋体" w:hAnsi="宋体"/>
                <w:b/>
                <w:color w:val="000000"/>
                <w:sz w:val="20"/>
              </w:rPr>
              <w:t>QMS:</w:t>
            </w:r>
            <w:r>
              <w:rPr>
                <w:rFonts w:hint="eastAsia" w:ascii="宋体" w:hAnsi="宋体"/>
                <w:szCs w:val="21"/>
              </w:rPr>
              <w:t>物业管理服务。</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物业管理服务所涉及场所的相关环境管理活动。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物业管理服务所涉及场所的相关职业健康安全管理活动。</w:t>
            </w:r>
          </w:p>
          <w:p>
            <w:pPr>
              <w:rPr>
                <w:rFonts w:ascii="宋体" w:hAnsi="宋体"/>
                <w:color w:val="FF0000"/>
                <w:szCs w:val="21"/>
              </w:rPr>
            </w:pPr>
            <w:r>
              <w:rPr>
                <w:rFonts w:hint="eastAsia" w:ascii="宋体" w:hAnsi="宋体"/>
                <w:szCs w:val="21"/>
              </w:rPr>
              <w:t>   询问</w:t>
            </w:r>
            <w:r>
              <w:rPr>
                <w:rFonts w:hint="eastAsia" w:ascii="宋体" w:hAnsi="宋体"/>
                <w:szCs w:val="21"/>
                <w:highlight w:val="none"/>
              </w:rPr>
              <w:t>，主要设备为</w:t>
            </w:r>
            <w:r>
              <w:rPr>
                <w:highlight w:val="none"/>
              </w:rPr>
              <w:t>主要设备为</w:t>
            </w:r>
            <w:r>
              <w:rPr>
                <w:color w:val="auto"/>
              </w:rPr>
              <w:t>电脑及办公设备（打印机、复印机、空调等）、</w:t>
            </w:r>
            <w:r>
              <w:rPr>
                <w:rFonts w:hint="eastAsia"/>
                <w:color w:val="auto"/>
                <w:highlight w:val="none"/>
                <w:lang w:val="en-US" w:eastAsia="zh-CN"/>
              </w:rPr>
              <w:t>洗地机、绿篱机、扫地机、吹风机、角磨机、手电钻、</w:t>
            </w:r>
            <w:r>
              <w:rPr>
                <w:color w:val="auto"/>
              </w:rPr>
              <w:t>对讲机</w:t>
            </w:r>
            <w:r>
              <w:rPr>
                <w:rFonts w:hint="eastAsia"/>
                <w:color w:val="auto"/>
              </w:rPr>
              <w:t>、手电</w:t>
            </w:r>
            <w:r>
              <w:rPr>
                <w:color w:val="auto"/>
              </w:rPr>
              <w:t>等</w:t>
            </w:r>
            <w:r>
              <w:rPr>
                <w:rStyle w:val="12"/>
                <w:rFonts w:hint="eastAsia" w:ascii="宋体" w:hAnsi="宋体"/>
                <w:color w:val="auto"/>
                <w:szCs w:val="21"/>
                <w:highlight w:val="none"/>
              </w:rPr>
              <w:t>。</w:t>
            </w:r>
          </w:p>
          <w:p>
            <w:pPr>
              <w:spacing w:line="400" w:lineRule="exact"/>
              <w:jc w:val="left"/>
              <w:rPr>
                <w:rFonts w:ascii="宋体" w:hAnsi="宋体"/>
                <w:color w:val="auto"/>
                <w:szCs w:val="21"/>
              </w:rPr>
            </w:pPr>
            <w:r>
              <w:rPr>
                <w:rFonts w:hint="eastAsia" w:ascii="宋体" w:hAnsi="宋体"/>
                <w:color w:val="auto"/>
                <w:szCs w:val="21"/>
              </w:rPr>
              <w:t>关键/确认过程：</w:t>
            </w:r>
            <w:r>
              <w:rPr>
                <w:rFonts w:hint="eastAsia" w:ascii="宋体" w:hAnsi="宋体" w:cs="宋体"/>
                <w:color w:val="auto"/>
                <w:szCs w:val="21"/>
              </w:rPr>
              <w:t>服务过程。</w:t>
            </w: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spacing w:line="400" w:lineRule="exact"/>
              <w:ind w:firstLine="420" w:firstLineChars="200"/>
              <w:jc w:val="left"/>
              <w:rPr>
                <w:rFonts w:ascii="宋体" w:hAnsi="宋体"/>
                <w:szCs w:val="21"/>
              </w:rPr>
            </w:pPr>
            <w:r>
              <w:rPr>
                <w:rFonts w:hint="eastAsia" w:ascii="宋体" w:hAnsi="宋体"/>
                <w:szCs w:val="21"/>
              </w:rPr>
              <w:t>组织实际与管理体系文件化信息描述基本一致。有管理层、</w:t>
            </w:r>
            <w:r>
              <w:rPr>
                <w:rFonts w:hint="eastAsia" w:ascii="宋体" w:hAnsi="宋体"/>
                <w:szCs w:val="21"/>
                <w:lang w:eastAsia="zh-CN"/>
              </w:rPr>
              <w:t>综合部</w:t>
            </w:r>
            <w:r>
              <w:rPr>
                <w:rFonts w:hint="eastAsia" w:ascii="宋体" w:hAnsi="宋体"/>
                <w:szCs w:val="21"/>
              </w:rPr>
              <w:t>、</w:t>
            </w:r>
            <w:r>
              <w:rPr>
                <w:rFonts w:hint="eastAsia" w:ascii="宋体" w:hAnsi="宋体"/>
                <w:szCs w:val="21"/>
                <w:lang w:val="en-US" w:eastAsia="zh-CN"/>
              </w:rPr>
              <w:t>项目部。</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，程序文件2</w:t>
            </w:r>
            <w:r>
              <w:rPr>
                <w:rFonts w:hint="eastAsia" w:ascii="宋体" w:hAnsi="宋体"/>
                <w:kern w:val="44"/>
                <w:szCs w:val="21"/>
                <w:lang w:val="en-US" w:eastAsia="zh-CN"/>
              </w:rPr>
              <w:t>5</w:t>
            </w:r>
            <w:r>
              <w:rPr>
                <w:rFonts w:hint="eastAsia" w:ascii="宋体" w:hAnsi="宋体"/>
                <w:kern w:val="44"/>
                <w:szCs w:val="21"/>
              </w:rPr>
              <w:t>个。</w:t>
            </w:r>
          </w:p>
        </w:tc>
        <w:tc>
          <w:tcPr>
            <w:tcW w:w="1140"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984"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508" w:type="dxa"/>
          </w:tcPr>
          <w:p>
            <w:pPr>
              <w:spacing w:line="400" w:lineRule="exact"/>
              <w:rPr>
                <w:szCs w:val="21"/>
              </w:rPr>
            </w:pPr>
            <w:r>
              <w:rPr>
                <w:rFonts w:hint="eastAsia"/>
                <w:szCs w:val="21"/>
              </w:rPr>
              <w:t>质量</w:t>
            </w:r>
            <w:r>
              <w:rPr>
                <w:rFonts w:hint="eastAsia"/>
                <w:szCs w:val="21"/>
                <w:lang w:eastAsia="zh-CN"/>
              </w:rPr>
              <w:t>、</w:t>
            </w:r>
            <w:r>
              <w:rPr>
                <w:rFonts w:hint="eastAsia"/>
                <w:szCs w:val="21"/>
              </w:rPr>
              <w:t xml:space="preserve">环境职业健康安全方针： </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“业主至上、诚信守法</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持续改进、科学管理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珍惜环境、和谐发展</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节能降耗、安全第一”。</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质量</w:t>
            </w:r>
            <w:r>
              <w:rPr>
                <w:rFonts w:hint="eastAsia" w:ascii="Times New Roman" w:hAnsi="Times New Roman" w:eastAsia="宋体" w:cs="Times New Roman"/>
                <w:szCs w:val="21"/>
                <w:lang w:eastAsia="zh-CN"/>
              </w:rPr>
              <w:t>、</w:t>
            </w:r>
            <w:r>
              <w:rPr>
                <w:rFonts w:hint="eastAsia" w:asciiTheme="minorEastAsia" w:hAnsiTheme="minorEastAsia" w:eastAsiaTheme="minorEastAsia" w:cstheme="minorEastAsia"/>
                <w:szCs w:val="21"/>
              </w:rPr>
              <w:t>环境、职业健康安全目标</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 xml:space="preserve"> </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 xml:space="preserve">1．客户满意度≥85分 </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 xml:space="preserve">2. 死亡事故发生率为0 </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 xml:space="preserve">3.对固体废弃物合规处置率100% </w:t>
            </w:r>
          </w:p>
          <w:p>
            <w:pPr>
              <w:tabs>
                <w:tab w:val="left" w:pos="3731"/>
              </w:tabs>
              <w:adjustRightInd w:val="0"/>
              <w:snapToGrid w:val="0"/>
              <w:spacing w:line="312" w:lineRule="auto"/>
              <w:rPr>
                <w:rFonts w:ascii="宋体" w:hAnsi="宋体"/>
                <w:color w:val="000000"/>
                <w:szCs w:val="21"/>
              </w:rPr>
            </w:pPr>
            <w:r>
              <w:rPr>
                <w:rFonts w:hint="eastAsia" w:ascii="宋体" w:hAnsi="宋体"/>
                <w:color w:val="000000"/>
                <w:sz w:val="21"/>
                <w:szCs w:val="21"/>
              </w:rPr>
              <w:t xml:space="preserve">4.火灾事故发生率为0 </w:t>
            </w:r>
            <w:r>
              <w:rPr>
                <w:rFonts w:hint="eastAsia" w:ascii="宋体" w:hAnsi="宋体"/>
                <w:color w:val="000000"/>
                <w:szCs w:val="21"/>
              </w:rPr>
              <w:t> </w:t>
            </w:r>
          </w:p>
          <w:p>
            <w:pPr>
              <w:spacing w:line="360" w:lineRule="auto"/>
              <w:jc w:val="left"/>
              <w:rPr>
                <w:rFonts w:ascii="宋体" w:hAnsi="宋体"/>
                <w:szCs w:val="21"/>
              </w:rPr>
            </w:pPr>
            <w:r>
              <w:rPr>
                <w:rFonts w:hint="eastAsia" w:asciiTheme="minorEastAsia" w:hAnsiTheme="minorEastAsia" w:eastAsiaTheme="minorEastAsia" w:cstheme="minorEastAsia"/>
                <w:szCs w:val="21"/>
              </w:rPr>
              <w:t>拟定有管理方案和预案。</w:t>
            </w:r>
          </w:p>
        </w:tc>
        <w:tc>
          <w:tcPr>
            <w:tcW w:w="1140"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984"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508" w:type="dxa"/>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ascii="宋体" w:hAnsi="宋体"/>
                <w:szCs w:val="21"/>
              </w:rPr>
            </w:pPr>
            <w:r>
              <w:rPr>
                <w:rFonts w:hint="eastAsia" w:ascii="宋体" w:hAnsi="宋体"/>
                <w:szCs w:val="21"/>
              </w:rPr>
              <w:t>内审时间：2020年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w:t>
            </w:r>
          </w:p>
          <w:p>
            <w:pPr>
              <w:spacing w:line="400" w:lineRule="exact"/>
              <w:rPr>
                <w:szCs w:val="21"/>
              </w:rPr>
            </w:pPr>
            <w:r>
              <w:rPr>
                <w:rFonts w:hint="eastAsia" w:ascii="宋体" w:hAnsi="宋体"/>
                <w:szCs w:val="21"/>
              </w:rPr>
              <w:t>内审组：</w:t>
            </w:r>
            <w:r>
              <w:rPr>
                <w:rFonts w:hint="eastAsia" w:ascii="宋体" w:hAnsi="宋体" w:eastAsia="宋体" w:cs="Times New Roman"/>
                <w:szCs w:val="21"/>
              </w:rPr>
              <w:t>谭巧玲（组长）、康勇（组员）。</w:t>
            </w:r>
          </w:p>
          <w:p>
            <w:pPr>
              <w:spacing w:line="400" w:lineRule="exact"/>
              <w:rPr>
                <w:rFonts w:ascii="宋体" w:hAnsi="宋体"/>
                <w:szCs w:val="21"/>
              </w:rPr>
            </w:pPr>
            <w:r>
              <w:rPr>
                <w:rFonts w:hint="eastAsia" w:ascii="宋体" w:hAnsi="宋体"/>
                <w:szCs w:val="21"/>
              </w:rPr>
              <w:t>见有：《内审不符合项报告》</w:t>
            </w:r>
            <w:r>
              <w:rPr>
                <w:rFonts w:hint="eastAsia" w:ascii="宋体" w:hAnsi="宋体"/>
                <w:szCs w:val="21"/>
                <w:lang w:val="en-US" w:eastAsia="zh-CN"/>
              </w:rPr>
              <w:t>1</w:t>
            </w:r>
            <w:r>
              <w:rPr>
                <w:rFonts w:hint="eastAsia" w:ascii="宋体" w:hAnsi="宋体"/>
                <w:szCs w:val="21"/>
              </w:rPr>
              <w:t>份，涉</w:t>
            </w:r>
            <w:r>
              <w:rPr>
                <w:rFonts w:hint="eastAsia" w:ascii="宋体" w:hAnsi="宋体" w:eastAsia="宋体" w:cs="Times New Roman"/>
                <w:szCs w:val="21"/>
              </w:rPr>
              <w:t>及</w:t>
            </w:r>
            <w:r>
              <w:rPr>
                <w:rFonts w:hint="eastAsia" w:ascii="宋体" w:hAnsi="宋体" w:eastAsia="宋体" w:cs="Times New Roman"/>
                <w:szCs w:val="21"/>
                <w:lang w:eastAsia="zh-CN"/>
              </w:rPr>
              <w:t>综合部</w:t>
            </w:r>
            <w:r>
              <w:rPr>
                <w:rFonts w:hint="eastAsia" w:ascii="宋体" w:hAnsi="宋体" w:eastAsia="宋体" w:cs="Times New Roman"/>
                <w:szCs w:val="21"/>
              </w:rPr>
              <w:t>E</w:t>
            </w:r>
            <w:r>
              <w:rPr>
                <w:rFonts w:hint="eastAsia" w:ascii="宋体" w:hAnsi="宋体" w:eastAsia="宋体" w:cs="Times New Roman"/>
                <w:szCs w:val="21"/>
                <w:lang w:val="en-US" w:eastAsia="zh-CN"/>
              </w:rPr>
              <w:t>8.1</w:t>
            </w:r>
            <w:r>
              <w:rPr>
                <w:rFonts w:hint="eastAsia" w:ascii="宋体" w:hAnsi="宋体" w:eastAsia="宋体" w:cs="Times New Roman"/>
                <w:szCs w:val="21"/>
              </w:rPr>
              <w:t>条款查办公室卫生不整洁，地面未及时处理，针对该不符合项，已及时采取纠正措施后，经</w:t>
            </w:r>
            <w:r>
              <w:rPr>
                <w:rFonts w:hint="eastAsia" w:ascii="宋体" w:hAnsi="宋体"/>
                <w:szCs w:val="21"/>
              </w:rPr>
              <w:t>内审员验证关闭。</w:t>
            </w:r>
          </w:p>
          <w:p>
            <w:pPr>
              <w:spacing w:line="400" w:lineRule="exact"/>
              <w:rPr>
                <w:rFonts w:ascii="宋体" w:hAnsi="宋体"/>
                <w:szCs w:val="21"/>
              </w:rPr>
            </w:pPr>
            <w:r>
              <w:rPr>
                <w:rFonts w:hint="eastAsia" w:ascii="宋体" w:hAnsi="宋体"/>
                <w:szCs w:val="21"/>
              </w:rPr>
              <w:t>有《内部审核报告》，有审核结论。</w:t>
            </w:r>
          </w:p>
        </w:tc>
        <w:tc>
          <w:tcPr>
            <w:tcW w:w="1140"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984"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08" w:type="dxa"/>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日由总经理</w:t>
            </w:r>
            <w:r>
              <w:rPr>
                <w:rFonts w:hint="eastAsia" w:ascii="宋体" w:hAnsi="宋体"/>
                <w:szCs w:val="21"/>
                <w:lang w:val="en-US" w:eastAsia="zh-CN"/>
              </w:rPr>
              <w:t>杨川</w:t>
            </w:r>
            <w:r>
              <w:rPr>
                <w:rFonts w:hint="eastAsia" w:ascii="宋体" w:hAnsi="宋体"/>
                <w:szCs w:val="21"/>
              </w:rPr>
              <w:t>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rPr>
                <w:rFonts w:ascii="宋体" w:hAnsi="宋体"/>
                <w:kern w:val="0"/>
                <w:szCs w:val="21"/>
                <w:u w:val="single"/>
              </w:rPr>
            </w:pPr>
            <w:r>
              <w:rPr>
                <w:rFonts w:hint="eastAsia" w:ascii="宋体" w:hAnsi="宋体"/>
                <w:kern w:val="0"/>
                <w:szCs w:val="21"/>
              </w:rPr>
              <w:t>提出</w:t>
            </w:r>
            <w:r>
              <w:rPr>
                <w:rFonts w:hint="eastAsia" w:ascii="宋体" w:hAnsi="宋体" w:eastAsia="宋体" w:cs="Times New Roman"/>
                <w:kern w:val="0"/>
                <w:szCs w:val="21"/>
              </w:rPr>
              <w:t>以下改进内容：加强人员培训。</w:t>
            </w:r>
          </w:p>
        </w:tc>
        <w:tc>
          <w:tcPr>
            <w:tcW w:w="1140"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984"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529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08"/>
        <w:gridCol w:w="110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608" w:type="dxa"/>
            <w:gridSpan w:val="3"/>
            <w:shd w:val="clear" w:color="auto" w:fill="E6E6E6"/>
            <w:vAlign w:val="center"/>
          </w:tcPr>
          <w:p>
            <w:pPr>
              <w:spacing w:line="0" w:lineRule="atLeast"/>
              <w:jc w:val="center"/>
              <w:rPr>
                <w:rFonts w:ascii="宋体" w:hAnsi="宋体"/>
                <w:szCs w:val="21"/>
              </w:rPr>
            </w:pPr>
            <w:r>
              <w:rPr>
                <w:rFonts w:hint="eastAsia" w:ascii="宋体" w:hAnsi="宋体"/>
                <w:szCs w:val="21"/>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08"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10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9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3687"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szCs w:val="21"/>
              </w:rPr>
            </w:pPr>
            <w:r>
              <w:rPr>
                <w:rFonts w:hint="eastAsia"/>
                <w:szCs w:val="21"/>
              </w:rPr>
              <w:t>安评报告及安评验收</w:t>
            </w: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szCs w:val="21"/>
              </w:rPr>
            </w:pPr>
            <w:r>
              <w:rPr>
                <w:rFonts w:hint="eastAsia"/>
                <w:szCs w:val="21"/>
              </w:rPr>
              <w:t>执行的安全法规（OHSMS）</w:t>
            </w:r>
          </w:p>
          <w:p>
            <w:pPr>
              <w:spacing w:line="400" w:lineRule="exact"/>
              <w:rPr>
                <w:szCs w:val="21"/>
              </w:rPr>
            </w:pPr>
          </w:p>
          <w:p>
            <w:pPr>
              <w:spacing w:line="400" w:lineRule="exact"/>
              <w:rPr>
                <w:szCs w:val="21"/>
              </w:rPr>
            </w:pPr>
            <w:r>
              <w:rPr>
                <w:rFonts w:hint="eastAsia"/>
                <w:szCs w:val="21"/>
              </w:rPr>
              <w:t xml:space="preserve">合规性评价报告 </w:t>
            </w:r>
          </w:p>
          <w:p>
            <w:pPr>
              <w:spacing w:line="400" w:lineRule="exact"/>
              <w:rPr>
                <w:szCs w:val="21"/>
              </w:rPr>
            </w:pPr>
          </w:p>
          <w:p>
            <w:pPr>
              <w:spacing w:line="400" w:lineRule="exact"/>
              <w:rPr>
                <w:szCs w:val="21"/>
              </w:rPr>
            </w:pPr>
            <w:r>
              <w:rPr>
                <w:rFonts w:hint="eastAsia"/>
                <w:szCs w:val="21"/>
              </w:rPr>
              <w:t>环境相关监测报告（EMS）</w:t>
            </w:r>
          </w:p>
          <w:p>
            <w:pPr>
              <w:spacing w:line="400" w:lineRule="exact"/>
              <w:rPr>
                <w:szCs w:val="21"/>
              </w:rPr>
            </w:pPr>
            <w:r>
              <w:rPr>
                <w:rFonts w:hint="eastAsia"/>
                <w:szCs w:val="21"/>
              </w:rPr>
              <w:t>职业健康相关监测报告（OHSMS）</w:t>
            </w:r>
          </w:p>
          <w:p>
            <w:pPr>
              <w:spacing w:line="400" w:lineRule="exact"/>
              <w:rPr>
                <w:rFonts w:ascii="宋体" w:hAnsi="宋体"/>
                <w:szCs w:val="21"/>
              </w:rPr>
            </w:pPr>
            <w:r>
              <w:rPr>
                <w:rFonts w:hint="eastAsia"/>
                <w:szCs w:val="21"/>
              </w:rPr>
              <w:t>产品质量监督抽查情况（QMS）</w:t>
            </w:r>
          </w:p>
        </w:tc>
        <w:tc>
          <w:tcPr>
            <w:tcW w:w="9508"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ascii="宋体" w:hAnsi="宋体"/>
                <w:szCs w:val="21"/>
              </w:rPr>
              <w:t>等</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w:t>
            </w:r>
          </w:p>
          <w:p>
            <w:pPr>
              <w:spacing w:line="400" w:lineRule="exact"/>
              <w:rPr>
                <w:rFonts w:ascii="宋体" w:hAnsi="宋体"/>
                <w:szCs w:val="21"/>
              </w:rPr>
            </w:pPr>
            <w:r>
              <w:rPr>
                <w:rFonts w:hint="eastAsia" w:ascii="宋体" w:hAnsi="宋体"/>
                <w:szCs w:val="21"/>
              </w:rPr>
              <w:t>不适用</w:t>
            </w:r>
          </w:p>
          <w:p>
            <w:pPr>
              <w:spacing w:line="400" w:lineRule="exact"/>
              <w:rPr>
                <w:szCs w:val="21"/>
              </w:rPr>
            </w:pPr>
            <w:r>
              <w:rPr>
                <w:rFonts w:hint="eastAsia"/>
                <w:color w:val="auto"/>
                <w:sz w:val="21"/>
                <w:szCs w:val="21"/>
              </w:rPr>
              <w:t>《重庆市物业管理条例》、《重庆市物业服务收费管理办法》、</w:t>
            </w:r>
            <w:r>
              <w:rPr>
                <w:rFonts w:hint="eastAsia"/>
                <w:color w:val="auto"/>
                <w:sz w:val="21"/>
                <w:szCs w:val="21"/>
                <w:lang w:eastAsia="zh-CN"/>
              </w:rPr>
              <w:t>《</w:t>
            </w:r>
            <w:r>
              <w:rPr>
                <w:rFonts w:hint="eastAsia"/>
                <w:color w:val="auto"/>
                <w:sz w:val="21"/>
                <w:szCs w:val="21"/>
              </w:rPr>
              <w:t>重庆市电梯维修使用管理办法</w:t>
            </w:r>
            <w:r>
              <w:rPr>
                <w:rFonts w:hint="eastAsia"/>
                <w:color w:val="auto"/>
                <w:sz w:val="21"/>
                <w:szCs w:val="21"/>
                <w:lang w:eastAsia="zh-CN"/>
              </w:rPr>
              <w:t>》、《</w:t>
            </w:r>
            <w:r>
              <w:rPr>
                <w:rFonts w:hint="eastAsia"/>
                <w:color w:val="auto"/>
                <w:sz w:val="21"/>
                <w:szCs w:val="21"/>
              </w:rPr>
              <w:t>重庆市容环境卫生管理条例</w:t>
            </w:r>
            <w:r>
              <w:rPr>
                <w:rFonts w:hint="eastAsia"/>
                <w:color w:val="auto"/>
                <w:sz w:val="21"/>
                <w:szCs w:val="21"/>
                <w:lang w:eastAsia="zh-CN"/>
              </w:rPr>
              <w:t>》</w:t>
            </w:r>
            <w:r>
              <w:rPr>
                <w:rFonts w:hint="eastAsia"/>
                <w:color w:val="auto"/>
                <w:sz w:val="21"/>
                <w:szCs w:val="21"/>
              </w:rPr>
              <w:t>和合同协议等</w:t>
            </w:r>
            <w:r>
              <w:rPr>
                <w:rFonts w:hint="eastAsia"/>
                <w:szCs w:val="21"/>
              </w:rPr>
              <w:t>。</w:t>
            </w:r>
          </w:p>
          <w:p>
            <w:pPr>
              <w:rPr>
                <w:rFonts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）、大气污染物综合排放标准（</w:t>
            </w:r>
            <w:r>
              <w:rPr>
                <w:rFonts w:ascii="宋体" w:hAnsi="宋体"/>
                <w:szCs w:val="21"/>
              </w:rPr>
              <w:t>GB 16297-1996</w:t>
            </w:r>
            <w:r>
              <w:rPr>
                <w:rFonts w:hint="eastAsia" w:ascii="宋体" w:hAnsi="宋体"/>
                <w:szCs w:val="21"/>
              </w:rPr>
              <w:t>）</w:t>
            </w:r>
          </w:p>
          <w:p>
            <w:pPr>
              <w:spacing w:line="400" w:lineRule="exact"/>
              <w:rPr>
                <w:szCs w:val="21"/>
              </w:rPr>
            </w:pPr>
            <w:r>
              <w:rPr>
                <w:rFonts w:hint="eastAsia" w:ascii="宋体" w:hAnsi="宋体"/>
                <w:szCs w:val="21"/>
              </w:rPr>
              <w:t>中华人民共和国安全消防法、</w:t>
            </w:r>
            <w:r>
              <w:rPr>
                <w:rFonts w:hint="eastAsia" w:ascii="宋体" w:hAnsi="宋体"/>
                <w:color w:val="000000"/>
                <w:szCs w:val="21"/>
              </w:rPr>
              <w:t>中华人民共和国劳动合同法、</w:t>
            </w:r>
            <w:r>
              <w:rPr>
                <w:rFonts w:hint="eastAsia" w:ascii="宋体" w:hAnsi="宋体" w:cs="宋体"/>
                <w:color w:val="000000"/>
                <w:szCs w:val="21"/>
              </w:rPr>
              <w:t>中华人民共和国安全生产法等</w:t>
            </w:r>
          </w:p>
          <w:p>
            <w:pPr>
              <w:spacing w:line="400" w:lineRule="exact"/>
              <w:rPr>
                <w:rFonts w:hint="eastAsia"/>
                <w:color w:val="auto"/>
                <w:szCs w:val="21"/>
                <w:highlight w:val="green"/>
              </w:rPr>
            </w:pPr>
          </w:p>
          <w:p>
            <w:pPr>
              <w:spacing w:line="400" w:lineRule="exact"/>
              <w:rPr>
                <w:rFonts w:hint="eastAsia" w:eastAsia="宋体"/>
                <w:color w:val="auto"/>
                <w:szCs w:val="21"/>
                <w:highlight w:val="none"/>
                <w:lang w:val="en-US" w:eastAsia="zh-CN"/>
              </w:rPr>
            </w:pPr>
            <w:r>
              <w:rPr>
                <w:rFonts w:hint="eastAsia"/>
                <w:color w:val="auto"/>
                <w:szCs w:val="21"/>
                <w:highlight w:val="none"/>
              </w:rPr>
              <w:t>2020年</w:t>
            </w:r>
            <w:r>
              <w:rPr>
                <w:rFonts w:hint="eastAsia"/>
                <w:color w:val="auto"/>
                <w:szCs w:val="21"/>
                <w:highlight w:val="none"/>
                <w:lang w:val="en-US" w:eastAsia="zh-CN"/>
              </w:rPr>
              <w:t>9</w:t>
            </w:r>
            <w:r>
              <w:rPr>
                <w:rFonts w:hint="eastAsia"/>
                <w:color w:val="auto"/>
                <w:szCs w:val="21"/>
                <w:highlight w:val="none"/>
              </w:rPr>
              <w:t>月</w:t>
            </w:r>
            <w:r>
              <w:rPr>
                <w:rFonts w:hint="eastAsia"/>
                <w:color w:val="auto"/>
                <w:szCs w:val="21"/>
                <w:highlight w:val="none"/>
                <w:lang w:val="en-US" w:eastAsia="zh-CN"/>
              </w:rPr>
              <w:t>15</w:t>
            </w:r>
            <w:r>
              <w:rPr>
                <w:rFonts w:hint="eastAsia"/>
                <w:color w:val="auto"/>
                <w:szCs w:val="21"/>
                <w:highlight w:val="none"/>
              </w:rPr>
              <w:t>日进行了合规性评价</w:t>
            </w:r>
            <w:r>
              <w:rPr>
                <w:rFonts w:hint="eastAsia"/>
                <w:color w:val="auto"/>
                <w:szCs w:val="21"/>
                <w:highlight w:val="none"/>
                <w:lang w:eastAsia="zh-CN"/>
              </w:rPr>
              <w:t>。</w:t>
            </w:r>
          </w:p>
          <w:p>
            <w:pPr>
              <w:spacing w:line="400" w:lineRule="exact"/>
              <w:rPr>
                <w:szCs w:val="21"/>
              </w:rPr>
            </w:pPr>
          </w:p>
          <w:p>
            <w:pPr>
              <w:spacing w:line="400" w:lineRule="exact"/>
              <w:rPr>
                <w:szCs w:val="21"/>
              </w:rPr>
            </w:pPr>
            <w:r>
              <w:rPr>
                <w:rFonts w:hint="eastAsia"/>
                <w:szCs w:val="21"/>
              </w:rPr>
              <w:t>无</w:t>
            </w:r>
          </w:p>
          <w:p>
            <w:pPr>
              <w:spacing w:line="400" w:lineRule="exact"/>
              <w:rPr>
                <w:szCs w:val="21"/>
              </w:rPr>
            </w:pPr>
            <w:r>
              <w:rPr>
                <w:rFonts w:hint="eastAsia"/>
                <w:szCs w:val="21"/>
              </w:rPr>
              <w:t>无</w:t>
            </w:r>
          </w:p>
          <w:p>
            <w:pPr>
              <w:spacing w:line="400" w:lineRule="exact"/>
              <w:rPr>
                <w:rFonts w:ascii="宋体" w:hAnsi="宋体"/>
                <w:szCs w:val="21"/>
              </w:rPr>
            </w:pPr>
            <w:r>
              <w:rPr>
                <w:rFonts w:hint="eastAsia"/>
                <w:szCs w:val="21"/>
              </w:rPr>
              <w:t>无质量监督抽查。</w:t>
            </w:r>
          </w:p>
        </w:tc>
        <w:tc>
          <w:tcPr>
            <w:tcW w:w="1104"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tc>
        <w:tc>
          <w:tcPr>
            <w:tcW w:w="996"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687"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bookmarkStart w:id="0" w:name="_GoBack"/>
            <w:bookmarkEnd w:id="0"/>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ascii="宋体" w:hAnsi="宋体"/>
                <w:szCs w:val="21"/>
              </w:rPr>
            </w:pPr>
          </w:p>
          <w:p>
            <w:pPr>
              <w:pStyle w:val="2"/>
              <w:rPr>
                <w:rFonts w:hint="eastAsia" w:eastAsia="宋体"/>
                <w:lang w:eastAsia="zh-CN"/>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9508" w:type="dxa"/>
          </w:tcPr>
          <w:p>
            <w:pPr>
              <w:spacing w:line="400" w:lineRule="exact"/>
              <w:rPr>
                <w:rFonts w:ascii="宋体" w:hAnsi="宋体" w:eastAsia="宋体" w:cs="Times New Roman"/>
                <w:szCs w:val="21"/>
              </w:rPr>
            </w:pPr>
            <w:r>
              <w:rPr>
                <w:rFonts w:hint="eastAsia" w:ascii="宋体" w:hAnsi="宋体" w:eastAsia="宋体" w:cs="Times New Roman"/>
                <w:szCs w:val="21"/>
              </w:rPr>
              <w:t>物业管理服务流程：</w:t>
            </w:r>
          </w:p>
          <w:p>
            <w:pPr>
              <w:spacing w:line="400" w:lineRule="exact"/>
              <w:rPr>
                <w:rFonts w:ascii="宋体" w:hAnsi="宋体" w:eastAsia="宋体" w:cs="Times New Roman"/>
                <w:szCs w:val="21"/>
              </w:rPr>
            </w:pPr>
            <w:r>
              <w:rPr>
                <w:rFonts w:hint="eastAsia" w:ascii="宋体" w:hAnsi="宋体" w:eastAsia="宋体" w:cs="Times New Roman"/>
                <w:szCs w:val="21"/>
              </w:rPr>
              <w:t>签订合同——确定物业管理服务区域——安排物业管理服务人员——分配物业管理区域——进行物业管理服务。</w:t>
            </w:r>
          </w:p>
          <w:p>
            <w:pPr>
              <w:spacing w:line="400" w:lineRule="exact"/>
              <w:rPr>
                <w:rFonts w:ascii="宋体" w:hAnsi="宋体" w:eastAsia="宋体" w:cs="Times New Roman"/>
                <w:szCs w:val="21"/>
              </w:rPr>
            </w:pPr>
            <w:r>
              <w:rPr>
                <w:rFonts w:hint="eastAsia" w:ascii="宋体" w:hAnsi="宋体"/>
                <w:color w:val="auto"/>
                <w:szCs w:val="21"/>
              </w:rPr>
              <w:t>关键/确认过程</w:t>
            </w:r>
            <w:r>
              <w:rPr>
                <w:rFonts w:hint="eastAsia" w:ascii="宋体" w:hAnsi="宋体" w:eastAsia="宋体" w:cs="Times New Roman"/>
                <w:szCs w:val="21"/>
              </w:rPr>
              <w:t>：服务过程</w:t>
            </w:r>
          </w:p>
          <w:p>
            <w:pPr>
              <w:spacing w:line="400" w:lineRule="exact"/>
              <w:rPr>
                <w:rFonts w:hint="eastAsia" w:ascii="宋体" w:hAnsi="宋体" w:eastAsia="宋体" w:cs="Times New Roman"/>
                <w:szCs w:val="21"/>
              </w:rPr>
            </w:pPr>
            <w:r>
              <w:rPr>
                <w:rFonts w:hint="eastAsia" w:ascii="宋体" w:hAnsi="宋体" w:eastAsia="宋体" w:cs="Times New Roman"/>
                <w:szCs w:val="21"/>
              </w:rPr>
              <w:t>Q8.3条款，公司服务流程和模式已经成熟，没有开发新的管理模式和流程，公司主要依据业主的要求，实施服务的采购和销售，以往的管理方式及所提供的服务已经得到业主认可。服务过程较简单，未涉及设计开发过程。故8.3不适用，不适用不影响公司提供满足顾客要求和适用法律法规要求的服务的能力或责任。</w:t>
            </w:r>
          </w:p>
          <w:p>
            <w:pPr>
              <w:spacing w:line="400" w:lineRule="exact"/>
              <w:rPr>
                <w:rFonts w:hint="eastAsia" w:ascii="宋体" w:hAnsi="宋体" w:eastAsia="宋体" w:cs="Times New Roman"/>
                <w:szCs w:val="21"/>
                <w:lang w:val="en-US" w:eastAsia="zh-CN"/>
              </w:rPr>
            </w:pPr>
          </w:p>
          <w:p>
            <w:pPr>
              <w:spacing w:line="40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垃圾清运、电梯维保</w:t>
            </w:r>
          </w:p>
          <w:p>
            <w:pPr>
              <w:spacing w:line="400" w:lineRule="exact"/>
              <w:rPr>
                <w:rFonts w:ascii="宋体" w:hAnsi="宋体" w:eastAsia="宋体" w:cs="Times New Roman"/>
                <w:szCs w:val="21"/>
              </w:rPr>
            </w:pPr>
            <w:r>
              <w:rPr>
                <w:rFonts w:hint="eastAsia" w:ascii="宋体" w:hAnsi="宋体" w:eastAsia="宋体" w:cs="Times New Roman"/>
                <w:szCs w:val="21"/>
              </w:rPr>
              <w:t>潜在火灾、固废排放</w:t>
            </w:r>
            <w:r>
              <w:rPr>
                <w:rFonts w:hint="eastAsia" w:ascii="宋体" w:hAnsi="宋体" w:cs="Times New Roman"/>
                <w:szCs w:val="21"/>
                <w:lang w:eastAsia="zh-CN"/>
              </w:rPr>
              <w:t>、</w:t>
            </w:r>
            <w:r>
              <w:rPr>
                <w:rFonts w:hint="eastAsia" w:ascii="宋体" w:hAnsi="宋体" w:cs="Times New Roman"/>
                <w:szCs w:val="21"/>
                <w:lang w:val="en-US" w:eastAsia="zh-CN"/>
              </w:rPr>
              <w:t>粉尘排放</w:t>
            </w:r>
            <w:r>
              <w:rPr>
                <w:rFonts w:hint="eastAsia" w:ascii="宋体" w:hAnsi="宋体" w:eastAsia="宋体" w:cs="Times New Roman"/>
                <w:szCs w:val="21"/>
              </w:rPr>
              <w:t>。</w:t>
            </w:r>
          </w:p>
          <w:p>
            <w:pPr>
              <w:tabs>
                <w:tab w:val="left" w:pos="1080"/>
              </w:tabs>
              <w:spacing w:line="400" w:lineRule="exact"/>
              <w:rPr>
                <w:rFonts w:ascii="宋体" w:hAnsi="宋体"/>
                <w:szCs w:val="21"/>
              </w:rPr>
            </w:pPr>
            <w:r>
              <w:rPr>
                <w:rFonts w:hint="eastAsia" w:ascii="宋体" w:hAnsi="宋体"/>
                <w:szCs w:val="21"/>
              </w:rPr>
              <w:t>火灾、意外伤害。</w:t>
            </w:r>
          </w:p>
          <w:p>
            <w:pPr>
              <w:tabs>
                <w:tab w:val="left" w:pos="1080"/>
              </w:tabs>
              <w:spacing w:line="400" w:lineRule="exact"/>
              <w:rPr>
                <w:rFonts w:ascii="宋体" w:hAnsi="宋体"/>
                <w:szCs w:val="21"/>
              </w:rPr>
            </w:pPr>
            <w:r>
              <w:rPr>
                <w:rFonts w:hint="eastAsia" w:ascii="宋体" w:hAnsi="宋体"/>
                <w:szCs w:val="21"/>
              </w:rPr>
              <w:t>公司</w:t>
            </w:r>
            <w:r>
              <w:rPr>
                <w:rFonts w:hint="eastAsia" w:ascii="宋体" w:hAnsi="宋体"/>
                <w:color w:val="auto"/>
                <w:szCs w:val="21"/>
              </w:rPr>
              <w:t>拟定有《火灾、</w:t>
            </w:r>
            <w:r>
              <w:rPr>
                <w:rFonts w:hint="eastAsia" w:ascii="宋体" w:hAnsi="宋体"/>
                <w:color w:val="auto"/>
                <w:szCs w:val="21"/>
                <w:lang w:val="en-US" w:eastAsia="zh-CN"/>
              </w:rPr>
              <w:t>防暴</w:t>
            </w:r>
            <w:r>
              <w:rPr>
                <w:rFonts w:hint="eastAsia" w:ascii="宋体" w:hAnsi="宋体"/>
                <w:color w:val="auto"/>
                <w:szCs w:val="21"/>
              </w:rPr>
              <w:t>应急</w:t>
            </w:r>
            <w:r>
              <w:rPr>
                <w:rFonts w:hint="eastAsia" w:ascii="宋体" w:hAnsi="宋体"/>
                <w:color w:val="auto"/>
                <w:szCs w:val="21"/>
                <w:lang w:val="en-US" w:eastAsia="zh-CN"/>
              </w:rPr>
              <w:t>方</w:t>
            </w:r>
            <w:r>
              <w:rPr>
                <w:rFonts w:hint="eastAsia" w:ascii="宋体" w:hAnsi="宋体"/>
                <w:color w:val="auto"/>
                <w:szCs w:val="21"/>
              </w:rPr>
              <w:t>案》，</w:t>
            </w:r>
            <w:r>
              <w:rPr>
                <w:rFonts w:hint="eastAsia" w:ascii="宋体" w:hAnsi="宋体"/>
                <w:color w:val="auto"/>
                <w:szCs w:val="21"/>
                <w:highlight w:val="none"/>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14</w:t>
            </w:r>
            <w:r>
              <w:rPr>
                <w:rFonts w:hint="eastAsia" w:ascii="宋体" w:hAnsi="宋体"/>
                <w:color w:val="auto"/>
                <w:szCs w:val="21"/>
                <w:highlight w:val="none"/>
              </w:rPr>
              <w:t>日进行了</w:t>
            </w:r>
            <w:r>
              <w:rPr>
                <w:rFonts w:hint="eastAsia" w:ascii="宋体" w:hAnsi="宋体"/>
                <w:color w:val="auto"/>
                <w:szCs w:val="21"/>
                <w:highlight w:val="none"/>
                <w:lang w:val="en-US" w:eastAsia="zh-CN"/>
              </w:rPr>
              <w:t>消防、防暴安全</w:t>
            </w:r>
            <w:r>
              <w:rPr>
                <w:rFonts w:hint="eastAsia" w:ascii="宋体" w:hAnsi="宋体"/>
                <w:color w:val="auto"/>
                <w:szCs w:val="21"/>
                <w:highlight w:val="none"/>
              </w:rPr>
              <w:t>演习。</w:t>
            </w:r>
          </w:p>
        </w:tc>
        <w:tc>
          <w:tcPr>
            <w:tcW w:w="1104"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996" w:type="dxa"/>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508" w:type="dxa"/>
          </w:tcPr>
          <w:p>
            <w:pPr>
              <w:spacing w:line="400" w:lineRule="exact"/>
              <w:rPr>
                <w:color w:val="auto"/>
              </w:rPr>
            </w:pPr>
            <w:r>
              <w:rPr>
                <w:rFonts w:hint="eastAsia"/>
                <w:color w:val="000000"/>
              </w:rPr>
              <w:t>无</w:t>
            </w:r>
          </w:p>
          <w:p>
            <w:pPr>
              <w:spacing w:line="400" w:lineRule="exact"/>
            </w:pPr>
            <w:r>
              <w:rPr>
                <w:rFonts w:hint="eastAsia"/>
                <w:color w:val="auto"/>
                <w:szCs w:val="21"/>
              </w:rPr>
              <w:t>原材料主要为清洁剂、清洁用品、工作服、劳保</w:t>
            </w:r>
            <w:r>
              <w:rPr>
                <w:rFonts w:hint="eastAsia" w:ascii="宋体" w:hAnsi="宋体"/>
                <w:color w:val="auto"/>
                <w:szCs w:val="21"/>
              </w:rPr>
              <w:t>等</w:t>
            </w:r>
            <w:r>
              <w:rPr>
                <w:rFonts w:hint="eastAsia"/>
                <w:color w:val="auto"/>
                <w:szCs w:val="21"/>
              </w:rPr>
              <w:t>。</w:t>
            </w:r>
          </w:p>
        </w:tc>
        <w:tc>
          <w:tcPr>
            <w:tcW w:w="1104" w:type="dxa"/>
          </w:tcPr>
          <w:p>
            <w:pPr>
              <w:spacing w:line="440" w:lineRule="exact"/>
              <w:jc w:val="left"/>
              <w:rPr>
                <w:rFonts w:ascii="宋体" w:hAnsi="宋体"/>
                <w:szCs w:val="21"/>
              </w:rPr>
            </w:pPr>
            <w:r>
              <w:rPr>
                <w:rFonts w:hint="eastAsia" w:ascii="宋体" w:hAnsi="宋体"/>
                <w:szCs w:val="21"/>
              </w:rPr>
              <w:t>Q8.3</w:t>
            </w:r>
          </w:p>
        </w:tc>
        <w:tc>
          <w:tcPr>
            <w:tcW w:w="9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508" w:type="dxa"/>
          </w:tcPr>
          <w:p>
            <w:pPr>
              <w:spacing w:line="400" w:lineRule="exact"/>
              <w:rPr>
                <w:szCs w:val="21"/>
              </w:rPr>
            </w:pPr>
            <w:r>
              <w:rPr>
                <w:rFonts w:hint="eastAsia"/>
                <w:szCs w:val="21"/>
              </w:rPr>
              <w:t>现场核实人数</w:t>
            </w:r>
            <w:r>
              <w:rPr>
                <w:rFonts w:hint="eastAsia"/>
                <w:szCs w:val="21"/>
                <w:lang w:val="en-US" w:eastAsia="zh-CN"/>
              </w:rPr>
              <w:t>64</w:t>
            </w:r>
            <w:r>
              <w:rPr>
                <w:rFonts w:hint="eastAsia"/>
                <w:szCs w:val="21"/>
              </w:rPr>
              <w:t>人，与任务书一致。</w:t>
            </w:r>
          </w:p>
          <w:p>
            <w:pPr>
              <w:spacing w:line="400" w:lineRule="exact"/>
              <w:rPr>
                <w:rFonts w:hint="default"/>
                <w:color w:val="auto"/>
                <w:szCs w:val="21"/>
                <w:highlight w:val="none"/>
                <w:lang w:val="en-US"/>
              </w:rPr>
            </w:pPr>
            <w:r>
              <w:rPr>
                <w:rFonts w:hint="eastAsia"/>
                <w:color w:val="auto"/>
                <w:szCs w:val="21"/>
                <w:highlight w:val="none"/>
                <w:lang w:val="en-US" w:eastAsia="zh-CN"/>
              </w:rPr>
              <w:t>电工、保安员、消防员。</w:t>
            </w:r>
          </w:p>
          <w:p>
            <w:pPr>
              <w:spacing w:line="400" w:lineRule="exact"/>
              <w:rPr>
                <w:rFonts w:hint="eastAsia" w:ascii="宋体" w:hAnsi="宋体" w:eastAsia="宋体"/>
                <w:szCs w:val="21"/>
                <w:lang w:eastAsia="zh-CN"/>
              </w:rPr>
            </w:pPr>
            <w:r>
              <w:rPr>
                <w:rFonts w:hint="eastAsia"/>
                <w:color w:val="auto"/>
                <w:szCs w:val="21"/>
                <w:highlight w:val="none"/>
                <w:lang w:val="en-US" w:eastAsia="zh-CN"/>
              </w:rPr>
              <w:t>无</w:t>
            </w:r>
          </w:p>
        </w:tc>
        <w:tc>
          <w:tcPr>
            <w:tcW w:w="1104" w:type="dxa"/>
          </w:tcPr>
          <w:p>
            <w:pPr>
              <w:spacing w:line="440" w:lineRule="exact"/>
              <w:jc w:val="left"/>
              <w:rPr>
                <w:rFonts w:ascii="宋体" w:hAnsi="宋体"/>
                <w:szCs w:val="21"/>
              </w:rPr>
            </w:pPr>
            <w:r>
              <w:rPr>
                <w:rFonts w:hint="eastAsia" w:ascii="宋体" w:hAnsi="宋体"/>
                <w:szCs w:val="21"/>
              </w:rPr>
              <w:t>Q/E/S:7.2</w:t>
            </w:r>
          </w:p>
        </w:tc>
        <w:tc>
          <w:tcPr>
            <w:tcW w:w="9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3687" w:type="dxa"/>
          </w:tcPr>
          <w:p>
            <w:pPr>
              <w:spacing w:line="400" w:lineRule="exact"/>
              <w:rPr>
                <w:rFonts w:ascii="宋体" w:hAnsi="宋体"/>
                <w:szCs w:val="21"/>
              </w:rPr>
            </w:pPr>
            <w:r>
              <w:rPr>
                <w:rFonts w:hint="eastAsia" w:ascii="宋体" w:hAnsi="宋体"/>
                <w:szCs w:val="21"/>
              </w:rPr>
              <w:t>主要生产设备</w:t>
            </w:r>
          </w:p>
          <w:p>
            <w:pPr>
              <w:spacing w:line="400" w:lineRule="exact"/>
              <w:rPr>
                <w:rFonts w:ascii="宋体" w:hAnsi="宋体"/>
                <w:szCs w:val="21"/>
              </w:rPr>
            </w:pPr>
            <w:r>
              <w:rPr>
                <w:rFonts w:hint="eastAsia" w:ascii="宋体" w:hAnsi="宋体"/>
                <w:szCs w:val="21"/>
              </w:rPr>
              <w:t>特种设备</w:t>
            </w:r>
          </w:p>
          <w:p>
            <w:pPr>
              <w:spacing w:line="400" w:lineRule="exact"/>
              <w:rPr>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szCs w:val="21"/>
              </w:rPr>
            </w:pPr>
            <w:r>
              <w:rPr>
                <w:rFonts w:hint="eastAsia"/>
                <w:szCs w:val="21"/>
              </w:rPr>
              <w:t>主要检测设备及设备的检定/校准（QMS）</w:t>
            </w: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508" w:type="dxa"/>
          </w:tcPr>
          <w:p>
            <w:pPr>
              <w:spacing w:line="400" w:lineRule="exact"/>
              <w:rPr>
                <w:color w:val="auto"/>
                <w:szCs w:val="21"/>
              </w:rPr>
            </w:pPr>
            <w:r>
              <w:rPr>
                <w:color w:val="auto"/>
              </w:rPr>
              <w:t>主要设备为电脑及办公设备（打印机、复印机、空调等）、</w:t>
            </w:r>
            <w:r>
              <w:rPr>
                <w:rFonts w:hint="eastAsia"/>
                <w:color w:val="auto"/>
                <w:highlight w:val="none"/>
                <w:lang w:val="en-US" w:eastAsia="zh-CN"/>
              </w:rPr>
              <w:t>洗地机、绿篱机、扫地机、吹风机、角磨机、手电钻、</w:t>
            </w:r>
            <w:r>
              <w:rPr>
                <w:color w:val="auto"/>
              </w:rPr>
              <w:t>对讲机</w:t>
            </w:r>
            <w:r>
              <w:rPr>
                <w:rFonts w:hint="eastAsia"/>
                <w:color w:val="auto"/>
              </w:rPr>
              <w:t>、手电</w:t>
            </w:r>
            <w:r>
              <w:rPr>
                <w:color w:val="auto"/>
              </w:rPr>
              <w:t>等。</w:t>
            </w:r>
          </w:p>
          <w:p>
            <w:pPr>
              <w:spacing w:line="400" w:lineRule="exact"/>
              <w:rPr>
                <w:rFonts w:hint="eastAsia" w:eastAsia="宋体"/>
                <w:color w:val="auto"/>
                <w:szCs w:val="21"/>
                <w:lang w:val="en-US" w:eastAsia="zh-CN"/>
              </w:rPr>
            </w:pPr>
            <w:r>
              <w:rPr>
                <w:rFonts w:hint="eastAsia"/>
                <w:color w:val="auto"/>
                <w:szCs w:val="21"/>
                <w:lang w:val="en-US" w:eastAsia="zh-CN"/>
              </w:rPr>
              <w:t>无</w:t>
            </w:r>
          </w:p>
          <w:p>
            <w:pPr>
              <w:spacing w:line="400" w:lineRule="exact"/>
              <w:rPr>
                <w:color w:val="auto"/>
                <w:szCs w:val="21"/>
              </w:rPr>
            </w:pPr>
            <w:r>
              <w:rPr>
                <w:rFonts w:hint="eastAsia"/>
                <w:color w:val="auto"/>
                <w:szCs w:val="21"/>
              </w:rPr>
              <w:t>消防栓、灭火器</w:t>
            </w:r>
          </w:p>
          <w:p>
            <w:pPr>
              <w:spacing w:line="400" w:lineRule="exact"/>
              <w:rPr>
                <w:szCs w:val="21"/>
              </w:rPr>
            </w:pPr>
            <w:r>
              <w:rPr>
                <w:rFonts w:hint="eastAsia"/>
                <w:szCs w:val="21"/>
              </w:rPr>
              <w:t>配电箱、空开</w:t>
            </w:r>
          </w:p>
          <w:p>
            <w:pPr>
              <w:spacing w:line="400" w:lineRule="exact"/>
              <w:rPr>
                <w:rFonts w:hint="default" w:eastAsia="宋体"/>
                <w:b/>
                <w:bCs/>
                <w:szCs w:val="21"/>
                <w:highlight w:val="none"/>
                <w:lang w:val="en-US" w:eastAsia="zh-CN"/>
              </w:rPr>
            </w:pPr>
            <w:r>
              <w:rPr>
                <w:rFonts w:hint="eastAsia"/>
                <w:b/>
                <w:bCs/>
                <w:szCs w:val="21"/>
                <w:highlight w:val="none"/>
                <w:lang w:val="en-US" w:eastAsia="zh-CN"/>
              </w:rPr>
              <w:t>数字钳形表</w:t>
            </w:r>
            <w:r>
              <w:rPr>
                <w:rFonts w:hint="eastAsia" w:ascii="宋体" w:hAnsi="宋体" w:cs="宋体"/>
                <w:b/>
                <w:bCs/>
                <w:sz w:val="21"/>
                <w:szCs w:val="21"/>
                <w:highlight w:val="none"/>
                <w:lang w:bidi="ar"/>
              </w:rPr>
              <w:t>。</w:t>
            </w:r>
            <w:r>
              <w:rPr>
                <w:rFonts w:hint="eastAsia"/>
                <w:b/>
                <w:bCs/>
                <w:color w:val="000000" w:themeColor="text1"/>
                <w:sz w:val="21"/>
                <w:szCs w:val="21"/>
                <w:lang w:val="en-US" w:eastAsia="zh-CN"/>
              </w:rPr>
              <w:t>不能提供</w:t>
            </w:r>
            <w:r>
              <w:rPr>
                <w:rFonts w:hint="eastAsia"/>
                <w:b/>
                <w:bCs/>
                <w:szCs w:val="21"/>
                <w:highlight w:val="none"/>
                <w:lang w:val="en-US" w:eastAsia="zh-CN"/>
              </w:rPr>
              <w:t>数字钳形表</w:t>
            </w:r>
            <w:r>
              <w:rPr>
                <w:rFonts w:hint="eastAsia"/>
                <w:b/>
                <w:bCs/>
                <w:color w:val="000000" w:themeColor="text1"/>
                <w:sz w:val="21"/>
                <w:szCs w:val="21"/>
                <w:lang w:val="en-US" w:eastAsia="zh-CN"/>
              </w:rPr>
              <w:t>的有效校准报告。</w:t>
            </w:r>
          </w:p>
          <w:p>
            <w:pPr>
              <w:spacing w:line="400" w:lineRule="exact"/>
              <w:rPr>
                <w:szCs w:val="21"/>
              </w:rPr>
            </w:pPr>
          </w:p>
          <w:p>
            <w:pPr>
              <w:spacing w:line="400" w:lineRule="exact"/>
              <w:rPr>
                <w:szCs w:val="21"/>
              </w:rPr>
            </w:pPr>
            <w:r>
              <w:rPr>
                <w:rFonts w:hint="eastAsia"/>
                <w:szCs w:val="21"/>
              </w:rPr>
              <w:t>无</w:t>
            </w:r>
          </w:p>
          <w:p>
            <w:pPr>
              <w:spacing w:line="400" w:lineRule="exact"/>
              <w:rPr>
                <w:szCs w:val="21"/>
              </w:rPr>
            </w:pPr>
            <w:r>
              <w:rPr>
                <w:rFonts w:hint="eastAsia"/>
                <w:szCs w:val="21"/>
              </w:rPr>
              <w:t>无</w:t>
            </w:r>
          </w:p>
        </w:tc>
        <w:tc>
          <w:tcPr>
            <w:tcW w:w="1104" w:type="dxa"/>
          </w:tcPr>
          <w:p>
            <w:pPr>
              <w:spacing w:line="440" w:lineRule="exact"/>
              <w:jc w:val="left"/>
              <w:rPr>
                <w:rFonts w:hint="eastAsia" w:ascii="宋体" w:hAnsi="宋体" w:eastAsia="宋体"/>
                <w:szCs w:val="21"/>
                <w:highlight w:val="none"/>
                <w:lang w:eastAsia="zh-CN"/>
              </w:rPr>
            </w:pPr>
            <w:r>
              <w:rPr>
                <w:rFonts w:hint="eastAsia" w:ascii="宋体" w:hAnsi="宋体"/>
                <w:szCs w:val="21"/>
                <w:highlight w:val="none"/>
              </w:rPr>
              <w:t>Q/E/S:7.1</w:t>
            </w:r>
            <w:r>
              <w:rPr>
                <w:rFonts w:hint="eastAsia" w:ascii="宋体" w:hAnsi="宋体"/>
                <w:szCs w:val="21"/>
                <w:highlight w:val="none"/>
                <w:lang w:eastAsia="zh-CN"/>
              </w:rPr>
              <w:t>、</w:t>
            </w:r>
          </w:p>
          <w:p>
            <w:pPr>
              <w:spacing w:line="440" w:lineRule="exact"/>
              <w:jc w:val="both"/>
              <w:rPr>
                <w:rFonts w:hint="eastAsia" w:ascii="宋体" w:hAnsi="宋体"/>
                <w:szCs w:val="21"/>
                <w:highlight w:val="none"/>
              </w:rPr>
            </w:pPr>
          </w:p>
          <w:p>
            <w:pPr>
              <w:spacing w:line="440" w:lineRule="exact"/>
              <w:jc w:val="both"/>
              <w:rPr>
                <w:rFonts w:hint="eastAsia" w:ascii="宋体" w:hAnsi="宋体"/>
                <w:szCs w:val="21"/>
                <w:highlight w:val="none"/>
              </w:rPr>
            </w:pPr>
          </w:p>
          <w:p>
            <w:pPr>
              <w:spacing w:line="440" w:lineRule="exact"/>
              <w:jc w:val="both"/>
              <w:rPr>
                <w:rFonts w:ascii="宋体" w:hAnsi="宋体"/>
                <w:szCs w:val="21"/>
                <w:highlight w:val="none"/>
              </w:rPr>
            </w:pPr>
            <w:r>
              <w:rPr>
                <w:rFonts w:hint="eastAsia" w:ascii="宋体" w:hAnsi="宋体"/>
                <w:szCs w:val="21"/>
                <w:highlight w:val="none"/>
              </w:rPr>
              <w:t>Q7.1.5</w:t>
            </w: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rPr>
                <w:rFonts w:ascii="宋体" w:hAnsi="宋体"/>
                <w:szCs w:val="21"/>
                <w:highlight w:val="none"/>
              </w:rPr>
            </w:pPr>
          </w:p>
        </w:tc>
        <w:tc>
          <w:tcPr>
            <w:tcW w:w="996" w:type="dxa"/>
          </w:tcPr>
          <w:p>
            <w:pPr>
              <w:spacing w:line="440" w:lineRule="exact"/>
              <w:jc w:val="center"/>
              <w:rPr>
                <w:rFonts w:ascii="宋体" w:hAnsi="宋体"/>
                <w:szCs w:val="21"/>
                <w:highlight w:val="none"/>
              </w:rPr>
            </w:pPr>
          </w:p>
          <w:p>
            <w:pPr>
              <w:pStyle w:val="2"/>
              <w:rPr>
                <w:rFonts w:ascii="宋体" w:hAnsi="宋体"/>
                <w:szCs w:val="21"/>
                <w:highlight w:val="none"/>
              </w:rPr>
            </w:pPr>
          </w:p>
          <w:p>
            <w:pPr>
              <w:pStyle w:val="2"/>
              <w:rPr>
                <w:rFonts w:ascii="宋体" w:hAnsi="宋体"/>
                <w:szCs w:val="21"/>
                <w:highlight w:val="none"/>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eastAsia" w:ascii="宋体" w:hAnsi="宋体"/>
                <w:szCs w:val="21"/>
                <w:highlight w:val="none"/>
                <w:lang w:val="en-US" w:eastAsia="zh-CN"/>
              </w:rPr>
            </w:pPr>
          </w:p>
          <w:p>
            <w:pPr>
              <w:pStyle w:val="2"/>
              <w:rPr>
                <w:rFonts w:hint="default" w:ascii="宋体" w:hAnsi="宋体" w:eastAsia="宋体"/>
                <w:szCs w:val="21"/>
                <w:highlight w:val="none"/>
                <w:lang w:val="en-US" w:eastAsia="zh-CN"/>
              </w:rPr>
            </w:pPr>
            <w:r>
              <w:rPr>
                <w:rFonts w:hint="eastAsia" w:ascii="宋体" w:hAnsi="宋体"/>
                <w:szCs w:val="21"/>
                <w:highlight w:val="none"/>
                <w:lang w:val="en-US" w:eastAsia="zh-CN"/>
              </w:rPr>
              <w:t>不符合</w:t>
            </w:r>
          </w:p>
          <w:p>
            <w:pPr>
              <w:spacing w:line="440" w:lineRule="exact"/>
              <w:jc w:val="center"/>
              <w:rPr>
                <w:rFonts w:ascii="宋体" w:hAnsi="宋体"/>
                <w:szCs w:val="21"/>
                <w:highlight w:val="none"/>
              </w:rPr>
            </w:pPr>
          </w:p>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508" w:type="dxa"/>
          </w:tcPr>
          <w:p>
            <w:pPr>
              <w:spacing w:line="400" w:lineRule="exact"/>
              <w:rPr>
                <w:rFonts w:ascii="宋体" w:hAnsi="宋体"/>
                <w:color w:val="auto"/>
                <w:szCs w:val="21"/>
              </w:rPr>
            </w:pPr>
            <w:r>
              <w:rPr>
                <w:rFonts w:hint="eastAsia" w:ascii="宋体" w:hAnsi="宋体"/>
                <w:color w:val="auto"/>
                <w:szCs w:val="21"/>
              </w:rPr>
              <w:t>在</w:t>
            </w:r>
            <w:r>
              <w:rPr>
                <w:rFonts w:hint="eastAsia" w:ascii="宋体" w:hAnsi="宋体"/>
                <w:color w:val="auto"/>
                <w:szCs w:val="21"/>
                <w:lang w:val="en-US" w:eastAsia="zh-CN"/>
              </w:rPr>
              <w:t>写字楼</w:t>
            </w:r>
            <w:r>
              <w:rPr>
                <w:rFonts w:hint="eastAsia" w:ascii="宋体" w:hAnsi="宋体"/>
                <w:color w:val="auto"/>
                <w:szCs w:val="21"/>
              </w:rPr>
              <w:t>内</w:t>
            </w:r>
          </w:p>
          <w:p>
            <w:pPr>
              <w:spacing w:line="400" w:lineRule="exact"/>
              <w:rPr>
                <w:rFonts w:ascii="宋体" w:hAnsi="宋体"/>
                <w:szCs w:val="21"/>
              </w:rPr>
            </w:pPr>
          </w:p>
          <w:p>
            <w:pPr>
              <w:spacing w:line="400" w:lineRule="exact"/>
              <w:rPr>
                <w:rFonts w:ascii="宋体" w:hAnsi="宋体"/>
                <w:szCs w:val="21"/>
              </w:rPr>
            </w:pPr>
          </w:p>
        </w:tc>
        <w:tc>
          <w:tcPr>
            <w:tcW w:w="1104" w:type="dxa"/>
          </w:tcPr>
          <w:p>
            <w:pPr>
              <w:spacing w:line="440" w:lineRule="exact"/>
              <w:jc w:val="center"/>
              <w:rPr>
                <w:rFonts w:ascii="宋体" w:hAnsi="宋体"/>
                <w:szCs w:val="21"/>
              </w:rPr>
            </w:pPr>
          </w:p>
        </w:tc>
        <w:tc>
          <w:tcPr>
            <w:tcW w:w="996"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9508" w:type="dxa"/>
          </w:tcPr>
          <w:p>
            <w:pPr>
              <w:spacing w:line="400" w:lineRule="exact"/>
              <w:rPr>
                <w:rFonts w:ascii="宋体" w:hAnsi="宋体"/>
                <w:szCs w:val="21"/>
              </w:rPr>
            </w:pPr>
            <w:r>
              <w:rPr>
                <w:rFonts w:hint="eastAsia" w:ascii="宋体" w:hAnsi="宋体"/>
                <w:szCs w:val="21"/>
              </w:rPr>
              <w:t>暂无</w:t>
            </w:r>
          </w:p>
        </w:tc>
        <w:tc>
          <w:tcPr>
            <w:tcW w:w="1104" w:type="dxa"/>
          </w:tcPr>
          <w:p>
            <w:pPr>
              <w:spacing w:line="440" w:lineRule="exact"/>
              <w:jc w:val="center"/>
              <w:rPr>
                <w:rFonts w:ascii="宋体" w:hAnsi="宋体"/>
                <w:szCs w:val="21"/>
              </w:rPr>
            </w:pPr>
          </w:p>
        </w:tc>
        <w:tc>
          <w:tcPr>
            <w:tcW w:w="996"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vAlign w:val="top"/>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kern w:val="0"/>
                <w:szCs w:val="21"/>
              </w:rPr>
              <w:t>第二阶段重要审核点等相关内容</w:t>
            </w:r>
          </w:p>
        </w:tc>
        <w:tc>
          <w:tcPr>
            <w:tcW w:w="9508" w:type="dxa"/>
            <w:vAlign w:val="top"/>
          </w:tcPr>
          <w:p>
            <w:pPr>
              <w:adjustRightInd w:val="0"/>
              <w:snapToGrid w:val="0"/>
              <w:rPr>
                <w:rFonts w:ascii="宋体" w:hAnsi="宋体"/>
                <w:szCs w:val="21"/>
              </w:rPr>
            </w:pPr>
            <w:r>
              <w:rPr>
                <w:rFonts w:hint="eastAsia" w:ascii="宋体" w:hAnsi="宋体"/>
                <w:szCs w:val="21"/>
              </w:rPr>
              <w:t>通过一阶段对受审核方的管理、办公现场巡视和观察，对管理体系绩效要求有重大影响的过程、活动、场所和现场运行进行观察、巡视及总体性评价，组织具备二阶段审核条件，可进行二阶段审核。</w:t>
            </w: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二阶段质量管理体系宜重点关注（</w:t>
            </w:r>
            <w:r>
              <w:rPr>
                <w:rFonts w:hint="eastAsia" w:ascii="宋体" w:hAnsi="宋体" w:cs="Times New Roman"/>
                <w:color w:val="auto"/>
                <w:szCs w:val="21"/>
                <w:highlight w:val="none"/>
                <w:lang w:val="en-US" w:eastAsia="zh-CN"/>
              </w:rPr>
              <w:t>客户需求识别、合同评审、运行控制等</w:t>
            </w:r>
            <w:r>
              <w:rPr>
                <w:rFonts w:hint="eastAsia" w:ascii="宋体" w:hAnsi="宋体"/>
                <w:szCs w:val="21"/>
              </w:rPr>
              <w:t>）</w:t>
            </w:r>
          </w:p>
          <w:p>
            <w:pPr>
              <w:adjustRightInd w:val="0"/>
              <w:snapToGrid w:val="0"/>
              <w:rPr>
                <w:rFonts w:ascii="宋体" w:hAnsi="宋体"/>
                <w:szCs w:val="21"/>
              </w:rPr>
            </w:pPr>
            <w:r>
              <w:rPr>
                <w:rFonts w:hint="eastAsia" w:ascii="宋体" w:hAnsi="宋体"/>
                <w:szCs w:val="21"/>
              </w:rPr>
              <w:t>重点审核部门：</w:t>
            </w:r>
            <w:r>
              <w:rPr>
                <w:rFonts w:hint="eastAsia" w:ascii="宋体" w:hAnsi="宋体"/>
                <w:szCs w:val="21"/>
                <w:lang w:eastAsia="zh-CN"/>
              </w:rPr>
              <w:t>综合部、</w:t>
            </w:r>
            <w:r>
              <w:rPr>
                <w:rFonts w:hint="eastAsia" w:ascii="宋体" w:hAnsi="宋体"/>
                <w:szCs w:val="21"/>
                <w:lang w:val="en-US" w:eastAsia="zh-CN"/>
              </w:rPr>
              <w:t>项目部</w:t>
            </w:r>
          </w:p>
          <w:p>
            <w:pPr>
              <w:spacing w:line="400" w:lineRule="exact"/>
              <w:rPr>
                <w:rFonts w:hint="default" w:ascii="宋体"/>
                <w:b/>
                <w:color w:val="000000"/>
                <w:sz w:val="20"/>
                <w:lang w:val="en-US"/>
              </w:rPr>
            </w:pPr>
            <w:r>
              <w:rPr>
                <w:rFonts w:hint="eastAsia" w:ascii="宋体" w:hAnsi="宋体"/>
                <w:szCs w:val="21"/>
              </w:rPr>
              <w:t>重点审核过程：</w:t>
            </w:r>
            <w:r>
              <w:rPr>
                <w:rFonts w:hint="eastAsia" w:ascii="宋体" w:hAnsi="宋体"/>
                <w:szCs w:val="21"/>
                <w:lang w:val="en-US" w:eastAsia="zh-CN"/>
              </w:rPr>
              <w:t>服务运行</w:t>
            </w:r>
            <w:r>
              <w:rPr>
                <w:rFonts w:hint="eastAsia" w:ascii="宋体" w:hAnsi="宋体"/>
                <w:szCs w:val="21"/>
              </w:rPr>
              <w:t>控制、顾客满意；</w:t>
            </w:r>
            <w:r>
              <w:rPr>
                <w:rFonts w:hint="eastAsia" w:ascii="宋体" w:hAnsi="宋体"/>
                <w:szCs w:val="21"/>
                <w:lang w:val="en-US" w:eastAsia="zh-CN"/>
              </w:rPr>
              <w:t>不符合反馈与处理等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szCs w:val="21"/>
              </w:rPr>
              <w:t>重点审核场所：办公场所、服务场所。</w:t>
            </w:r>
          </w:p>
        </w:tc>
        <w:tc>
          <w:tcPr>
            <w:tcW w:w="1104" w:type="dxa"/>
          </w:tcPr>
          <w:p>
            <w:pPr>
              <w:spacing w:line="440" w:lineRule="exact"/>
              <w:jc w:val="center"/>
              <w:rPr>
                <w:rFonts w:ascii="宋体" w:hAnsi="宋体"/>
                <w:szCs w:val="21"/>
              </w:rPr>
            </w:pPr>
          </w:p>
        </w:tc>
        <w:tc>
          <w:tcPr>
            <w:tcW w:w="996" w:type="dxa"/>
          </w:tcPr>
          <w:p>
            <w:pPr>
              <w:spacing w:line="440" w:lineRule="exact"/>
              <w:jc w:val="center"/>
              <w:rPr>
                <w:rFonts w:hint="eastAsia"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C67A58"/>
    <w:rsid w:val="19F51053"/>
    <w:rsid w:val="283C3BE1"/>
    <w:rsid w:val="30BC4675"/>
    <w:rsid w:val="313B4B19"/>
    <w:rsid w:val="608655E8"/>
    <w:rsid w:val="648A4A87"/>
    <w:rsid w:val="6B7C22EF"/>
    <w:rsid w:val="6D3523C8"/>
    <w:rsid w:val="702D7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2021-01-28T06:02:25Z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