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四川省交通物资有限责任公司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2021年1月25日上午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2021年1月25日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6F2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2021-01-27T14:52:02Z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