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0057-2021-EO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四川省交通物资有限责任公司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E:29.11.03</w:t>
            </w:r>
          </w:p>
          <w:p>
            <w:pPr>
              <w:spacing w:line="240" w:lineRule="exact"/>
              <w:jc w:val="center"/>
              <w:rPr>
                <w:b/>
                <w:color w:val="000000"/>
                <w:sz w:val="20"/>
                <w:szCs w:val="20"/>
              </w:rPr>
            </w:pPr>
            <w:r>
              <w:rPr>
                <w:b/>
                <w:color w:val="000000"/>
                <w:sz w:val="20"/>
                <w:szCs w:val="20"/>
              </w:rPr>
              <w:t>O:29.11.03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de-DE" w:eastAsia="zh-CN"/>
        </w:rPr>
        <w:t>ISO/45001-2018</w:t>
      </w:r>
      <w:r>
        <w:rPr>
          <w:rFonts w:ascii="宋体" w:hAnsi="宋体"/>
          <w:b/>
          <w:color w:val="000000"/>
          <w:sz w:val="20"/>
          <w:szCs w:val="20"/>
          <w:lang w:val="de-DE"/>
        </w:rPr>
        <w:t xml:space="preserve"> </w:t>
      </w:r>
      <w:r>
        <w:rPr>
          <w:rFonts w:hint="eastAsia" w:ascii="宋体" w:hAnsi="宋体" w:eastAsia="宋体" w:cs="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四川省交通物资有限责任公司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成都市一环路西一段</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成都市一环路西一段</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王瑞</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18829841889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黄河</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胡小隆</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2020年9月19日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E：建材销售所涉及场所的相关环境管理活动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O：建材销售所涉及场所的相关职业健康安全管理活动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E：29.11.03</w:t>
            </w:r>
          </w:p>
          <w:p>
            <w:pPr>
              <w:spacing w:line="280" w:lineRule="exact"/>
              <w:rPr>
                <w:rFonts w:ascii="宋体"/>
                <w:b/>
                <w:color w:val="000000"/>
                <w:sz w:val="20"/>
                <w:szCs w:val="20"/>
              </w:rPr>
            </w:pPr>
            <w:r>
              <w:rPr>
                <w:rFonts w:ascii="宋体"/>
                <w:b/>
                <w:color w:val="000000"/>
                <w:sz w:val="20"/>
                <w:szCs w:val="20"/>
              </w:rPr>
              <w:t>O：29.11.03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ascii="宋体"/>
          <w:b/>
          <w:color w:val="000000"/>
          <w:sz w:val="20"/>
          <w:szCs w:val="20"/>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lang w:val="en-US" w:eastAsia="zh-CN"/>
        </w:rPr>
        <w:t>未在</w:t>
      </w:r>
      <w:r>
        <w:rPr>
          <w:rFonts w:hint="eastAsia" w:ascii="宋体" w:hAnsi="宋体"/>
          <w:b/>
          <w:color w:val="000000"/>
          <w:sz w:val="20"/>
          <w:szCs w:val="20"/>
        </w:rPr>
        <w:t>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管理层、综合管理部、物资部、业务部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经营办公场所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建材销售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管理层、综合管理部、物资部、业务部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综合管理部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综合管理部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成都市一环路西一段</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highlight w:val="none"/>
                <w:lang w:eastAsia="zh-CN"/>
              </w:rPr>
              <w:t>■</w:t>
            </w:r>
            <w:r>
              <w:rPr>
                <w:rFonts w:hint="eastAsia" w:ascii="宋体" w:hAnsi="宋体"/>
                <w:color w:val="000000"/>
                <w:sz w:val="20"/>
                <w:szCs w:val="20"/>
                <w:highlight w:val="none"/>
              </w:rPr>
              <w:t>自建办公用房</w:t>
            </w:r>
            <w:r>
              <w:rPr>
                <w:rFonts w:hint="eastAsia" w:ascii="宋体" w:hAnsi="宋体"/>
                <w:color w:val="000000"/>
                <w:spacing w:val="-10"/>
                <w:sz w:val="20"/>
                <w:szCs w:val="20"/>
                <w:highlight w:val="none"/>
                <w:lang w:eastAsia="zh-CN"/>
              </w:rPr>
              <w:t>□</w:t>
            </w:r>
            <w:bookmarkStart w:id="25" w:name="_GoBack"/>
            <w:bookmarkEnd w:id="25"/>
            <w:r>
              <w:rPr>
                <w:rFonts w:hint="eastAsia" w:ascii="宋体" w:hAnsi="宋体"/>
                <w:color w:val="000000"/>
                <w:sz w:val="20"/>
                <w:szCs w:val="20"/>
                <w:highlight w:val="none"/>
              </w:rPr>
              <w:t>自建厂房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租用办公用房</w:t>
            </w:r>
            <w:r>
              <w:rPr>
                <w:rFonts w:hint="eastAsia" w:ascii="宋体" w:hAnsi="宋体"/>
                <w:color w:val="000000"/>
                <w:spacing w:val="-10"/>
                <w:sz w:val="20"/>
                <w:szCs w:val="20"/>
                <w:highlight w:val="none"/>
                <w:lang w:eastAsia="zh-CN"/>
              </w:rPr>
              <w:t>□</w:t>
            </w:r>
            <w:r>
              <w:rPr>
                <w:rFonts w:hint="eastAsia" w:ascii="宋体" w:hAnsi="宋体"/>
                <w:color w:val="000000"/>
                <w:spacing w:val="-10"/>
                <w:sz w:val="20"/>
                <w:szCs w:val="20"/>
                <w:highlight w:val="none"/>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color w:val="00000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w:t>
            </w:r>
            <w:r>
              <w:rPr>
                <w:rFonts w:hint="eastAsia" w:ascii="宋体" w:hAnsi="宋体" w:cs="宋体"/>
                <w:color w:val="000000" w:themeColor="text1"/>
                <w:sz w:val="21"/>
                <w:szCs w:val="21"/>
              </w:rPr>
              <w:t>大气污染物综合排放标准</w:t>
            </w:r>
            <w:r>
              <w:rPr>
                <w:rFonts w:hint="eastAsia" w:ascii="宋体" w:hAnsi="宋体" w:cs="宋体"/>
                <w:color w:val="000000" w:themeColor="text1"/>
                <w:sz w:val="21"/>
                <w:szCs w:val="21"/>
              </w:rPr>
              <w:tab/>
            </w:r>
            <w:r>
              <w:rPr>
                <w:rFonts w:hint="eastAsia" w:ascii="宋体" w:hAnsi="宋体" w:cs="宋体"/>
                <w:color w:val="000000" w:themeColor="text1"/>
                <w:sz w:val="21"/>
                <w:szCs w:val="21"/>
              </w:rPr>
              <w:t>GB 16297-1996、污水综合排放标准GB 8978-1996地表水环境质量标准GB3838-2002等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是否有安全预评价报告，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是否有安全现状评价报告，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是否有消防验收报告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是否申报职业危害场所</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spacing w:line="400" w:lineRule="exact"/>
              <w:rPr>
                <w:rFonts w:ascii="宋体" w:hAnsi="Times New Roman" w:eastAsia="宋体" w:cs="Times New Roman"/>
                <w:color w:val="000000"/>
                <w:kern w:val="2"/>
                <w:sz w:val="21"/>
                <w:szCs w:val="21"/>
                <w:lang w:val="en-US" w:eastAsia="zh-CN" w:bidi="ar-SA"/>
              </w:rPr>
            </w:pPr>
            <w:r>
              <w:rPr>
                <w:rFonts w:hint="eastAsia" w:ascii="宋体"/>
                <w:color w:val="000000" w:themeColor="text1"/>
                <w:sz w:val="21"/>
                <w:szCs w:val="21"/>
              </w:rPr>
              <w:t>执行标准：</w:t>
            </w:r>
            <w:r>
              <w:rPr>
                <w:rFonts w:hint="eastAsia" w:ascii="宋体" w:hAnsi="宋体"/>
                <w:color w:val="000000" w:themeColor="text1"/>
                <w:sz w:val="21"/>
                <w:szCs w:val="21"/>
              </w:rPr>
              <w:t>中华人民共和国安全消防法、中华人民共和国劳动合同法、</w:t>
            </w:r>
            <w:r>
              <w:rPr>
                <w:rFonts w:hint="eastAsia" w:ascii="宋体" w:hAnsi="宋体" w:cs="宋体"/>
                <w:color w:val="000000" w:themeColor="text1"/>
                <w:sz w:val="21"/>
                <w:szCs w:val="21"/>
              </w:rPr>
              <w:t>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1"/>
                <w:szCs w:val="21"/>
              </w:rPr>
            </w:pPr>
            <w:r>
              <w:rPr>
                <w:rFonts w:hint="eastAsia" w:ascii="宋体"/>
                <w:color w:val="000000"/>
                <w:sz w:val="21"/>
                <w:szCs w:val="21"/>
              </w:rPr>
              <w:t>是否接受了行政主管部门的检查</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lang w:eastAsia="zh-CN"/>
              </w:rPr>
              <w:t>■</w:t>
            </w:r>
            <w:r>
              <w:rPr>
                <w:rFonts w:hint="eastAsia" w:ascii="宋体" w:hAnsi="宋体"/>
                <w:color w:val="000000"/>
                <w:sz w:val="21"/>
                <w:szCs w:val="21"/>
              </w:rPr>
              <w:t>否</w:t>
            </w:r>
          </w:p>
          <w:p>
            <w:pPr>
              <w:rPr>
                <w:rFonts w:ascii="宋体" w:hAnsi="Times New Roman" w:eastAsia="宋体" w:cs="Times New Roman"/>
                <w:color w:val="000000"/>
                <w:kern w:val="2"/>
                <w:sz w:val="21"/>
                <w:szCs w:val="21"/>
                <w:lang w:val="en-US" w:eastAsia="zh-CN" w:bidi="ar-SA"/>
              </w:rPr>
            </w:pPr>
            <w:r>
              <w:rPr>
                <w:rFonts w:hint="eastAsia" w:ascii="宋体" w:hAnsi="宋体"/>
                <w:color w:val="000000"/>
                <w:sz w:val="21"/>
                <w:szCs w:val="21"/>
              </w:rPr>
              <w:t>是否列入当地政府黑名单</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近期是否发生重大安全生产事故</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1"/>
                <w:szCs w:val="21"/>
              </w:rPr>
            </w:pPr>
            <w:r>
              <w:rPr>
                <w:rFonts w:hint="eastAsia" w:ascii="宋体"/>
                <w:color w:val="000000"/>
                <w:sz w:val="21"/>
                <w:szCs w:val="21"/>
              </w:rPr>
              <w:t>是否建立了合规性评价程序</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p>
            <w:pPr>
              <w:rPr>
                <w:rFonts w:ascii="宋体"/>
                <w:color w:val="000000"/>
                <w:sz w:val="20"/>
                <w:szCs w:val="20"/>
              </w:rPr>
            </w:pPr>
            <w:r>
              <w:rPr>
                <w:rFonts w:hint="eastAsia" w:ascii="宋体" w:hAnsi="宋体"/>
                <w:color w:val="000000"/>
                <w:sz w:val="21"/>
                <w:szCs w:val="21"/>
              </w:rPr>
              <w:t>是否实施了合规性评价</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 w:val="24"/>
              </w:rPr>
              <w:t>市场调研→签订协议→组织采购用户产品与验收→发货与交付→售后服务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vAlign w:val="top"/>
          </w:tcPr>
          <w:p>
            <w:pPr>
              <w:rPr>
                <w:rFonts w:ascii="宋体" w:hAnsi="Times New Roman" w:eastAsia="宋体" w:cs="Times New Roman"/>
                <w:color w:val="auto"/>
                <w:spacing w:val="-10"/>
                <w:kern w:val="2"/>
                <w:sz w:val="20"/>
                <w:szCs w:val="20"/>
                <w:lang w:val="en-US" w:eastAsia="zh-CN" w:bidi="ar-SA"/>
              </w:rPr>
            </w:pPr>
            <w:r>
              <w:rPr>
                <w:rFonts w:hint="eastAsia" w:ascii="宋体" w:hAnsi="宋体"/>
                <w:color w:val="auto"/>
                <w:spacing w:val="-10"/>
                <w:sz w:val="20"/>
                <w:szCs w:val="20"/>
              </w:rPr>
              <w:t>主要设备：电脑、打印机等办公设备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auto"/>
                <w:kern w:val="2"/>
                <w:sz w:val="20"/>
                <w:szCs w:val="20"/>
                <w:lang w:val="en-US" w:eastAsia="zh-CN" w:bidi="ar-SA"/>
              </w:rPr>
            </w:pPr>
            <w:r>
              <w:rPr>
                <w:rFonts w:hint="eastAsia" w:ascii="宋体" w:hAnsi="宋体"/>
                <w:color w:val="auto"/>
                <w:sz w:val="20"/>
                <w:szCs w:val="20"/>
              </w:rPr>
              <w:t>设备是否满足要求</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hint="eastAsia" w:ascii="宋体" w:hAnsi="Times New Roman" w:eastAsia="宋体" w:cs="Times New Roman"/>
                <w:color w:val="auto"/>
                <w:kern w:val="2"/>
                <w:sz w:val="20"/>
                <w:szCs w:val="20"/>
                <w:lang w:val="en-US" w:eastAsia="zh-CN" w:bidi="ar-SA"/>
              </w:rPr>
            </w:pPr>
            <w:r>
              <w:rPr>
                <w:rFonts w:hint="eastAsia" w:ascii="宋体" w:hAnsi="宋体"/>
                <w:color w:val="auto"/>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vAlign w:val="top"/>
          </w:tcPr>
          <w:p>
            <w:pPr>
              <w:rPr>
                <w:rFonts w:ascii="宋体" w:hAnsi="Times New Roman" w:eastAsia="宋体" w:cs="Times New Roman"/>
                <w:color w:val="auto"/>
                <w:kern w:val="2"/>
                <w:sz w:val="20"/>
                <w:szCs w:val="20"/>
                <w:lang w:val="en-US" w:eastAsia="zh-CN" w:bidi="ar-SA"/>
              </w:rPr>
            </w:pPr>
            <w:r>
              <w:rPr>
                <w:rFonts w:hint="eastAsia" w:ascii="宋体" w:hAnsi="宋体"/>
                <w:color w:val="auto"/>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hint="eastAsia" w:ascii="宋体" w:hAnsi="Times New Roman" w:eastAsia="宋体" w:cs="Times New Roman"/>
                <w:color w:val="auto"/>
                <w:kern w:val="2"/>
                <w:sz w:val="20"/>
                <w:szCs w:val="20"/>
                <w:lang w:val="en-US" w:eastAsia="zh-CN" w:bidi="ar-SA"/>
              </w:rPr>
            </w:pPr>
            <w:r>
              <w:rPr>
                <w:rFonts w:hint="eastAsia" w:ascii="宋体"/>
                <w:color w:val="auto"/>
                <w:sz w:val="20"/>
                <w:szCs w:val="20"/>
              </w:rPr>
              <w:t>监视和测量设备（请简述主要监视和测量设备）：</w:t>
            </w:r>
            <w:r>
              <w:rPr>
                <w:rFonts w:hint="eastAsia" w:asci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hAnsi="Times New Roman" w:eastAsia="宋体" w:cs="Times New Roman"/>
                <w:color w:val="auto"/>
                <w:kern w:val="2"/>
                <w:sz w:val="20"/>
                <w:szCs w:val="20"/>
                <w:lang w:val="en-US" w:eastAsia="zh-CN" w:bidi="ar-SA"/>
              </w:rPr>
            </w:pPr>
            <w:r>
              <w:rPr>
                <w:rFonts w:hint="eastAsia" w:ascii="宋体"/>
                <w:color w:val="auto"/>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vAlign w:val="top"/>
          </w:tcPr>
          <w:p>
            <w:pPr>
              <w:rPr>
                <w:rFonts w:ascii="宋体" w:hAnsi="Times New Roman" w:eastAsia="宋体" w:cs="Times New Roman"/>
                <w:color w:val="auto"/>
                <w:kern w:val="2"/>
                <w:sz w:val="20"/>
                <w:szCs w:val="20"/>
                <w:lang w:val="en-US" w:eastAsia="zh-CN" w:bidi="ar-SA"/>
              </w:rPr>
            </w:pPr>
            <w:r>
              <w:rPr>
                <w:rFonts w:hint="eastAsia" w:ascii="宋体"/>
                <w:color w:val="auto"/>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重要环境因素有：</w:t>
            </w:r>
            <w:r>
              <w:rPr>
                <w:rFonts w:hint="eastAsia" w:ascii="宋体"/>
                <w:color w:val="000000" w:themeColor="text1"/>
                <w:sz w:val="20"/>
                <w:szCs w:val="20"/>
              </w:rPr>
              <w:t xml:space="preserve"> </w:t>
            </w:r>
            <w:r>
              <w:rPr>
                <w:rFonts w:hint="eastAsia" w:ascii="宋体"/>
                <w:color w:val="auto"/>
                <w:sz w:val="20"/>
                <w:szCs w:val="20"/>
              </w:rPr>
              <w:t>固</w:t>
            </w:r>
            <w:r>
              <w:rPr>
                <w:rFonts w:hint="eastAsia" w:ascii="宋体"/>
                <w:color w:val="auto"/>
                <w:sz w:val="20"/>
                <w:szCs w:val="20"/>
                <w:lang w:val="en-US" w:eastAsia="zh-CN"/>
              </w:rPr>
              <w:t>体</w:t>
            </w:r>
            <w:r>
              <w:rPr>
                <w:rFonts w:hint="eastAsia" w:ascii="宋体"/>
                <w:color w:val="auto"/>
                <w:sz w:val="20"/>
                <w:szCs w:val="20"/>
              </w:rPr>
              <w:t>废</w:t>
            </w:r>
            <w:r>
              <w:rPr>
                <w:rFonts w:hint="eastAsia" w:ascii="宋体"/>
                <w:color w:val="auto"/>
                <w:sz w:val="20"/>
                <w:szCs w:val="20"/>
                <w:lang w:val="en-US" w:eastAsia="zh-CN"/>
              </w:rPr>
              <w:t>弃物的排放</w:t>
            </w:r>
            <w:r>
              <w:rPr>
                <w:rFonts w:hint="eastAsia" w:ascii="宋体"/>
                <w:color w:val="auto"/>
                <w:sz w:val="20"/>
                <w:szCs w:val="20"/>
                <w:lang w:eastAsia="zh-CN"/>
              </w:rPr>
              <w:t>、</w:t>
            </w:r>
            <w:r>
              <w:rPr>
                <w:rFonts w:hint="eastAsia" w:ascii="宋体"/>
                <w:color w:val="auto"/>
                <w:sz w:val="20"/>
                <w:szCs w:val="20"/>
                <w:lang w:val="en-US" w:eastAsia="zh-CN"/>
              </w:rPr>
              <w:t>潜在</w:t>
            </w:r>
            <w:r>
              <w:rPr>
                <w:rFonts w:hint="eastAsia" w:ascii="宋体"/>
                <w:color w:val="auto"/>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w:t>
            </w:r>
            <w:r>
              <w:rPr>
                <w:rFonts w:hint="eastAsia" w:ascii="宋体"/>
                <w:color w:val="auto"/>
                <w:sz w:val="20"/>
                <w:szCs w:val="20"/>
              </w:rPr>
              <w:t>火灾应急预案</w:t>
            </w:r>
            <w:r>
              <w:rPr>
                <w:rFonts w:hint="eastAsia" w:ascii="宋体"/>
                <w:color w:val="auto"/>
                <w:sz w:val="20"/>
                <w:szCs w:val="20"/>
                <w:lang w:eastAsia="zh-CN"/>
              </w:rPr>
              <w:t>、触电事故应急预案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不可接受风险有</w:t>
            </w:r>
            <w:r>
              <w:rPr>
                <w:rFonts w:hint="eastAsia" w:ascii="宋体"/>
                <w:color w:val="auto"/>
                <w:sz w:val="20"/>
                <w:szCs w:val="20"/>
              </w:rPr>
              <w:t>：</w:t>
            </w:r>
            <w:r>
              <w:rPr>
                <w:rFonts w:hint="eastAsia" w:ascii="宋体" w:hAnsi="宋体"/>
                <w:color w:val="auto"/>
                <w:sz w:val="21"/>
                <w:szCs w:val="21"/>
              </w:rPr>
              <w:t>潜在火灾、</w:t>
            </w:r>
            <w:r>
              <w:rPr>
                <w:rFonts w:hint="eastAsia" w:ascii="宋体" w:hAnsi="宋体"/>
                <w:color w:val="auto"/>
                <w:sz w:val="21"/>
                <w:szCs w:val="21"/>
                <w:lang w:val="en-US" w:eastAsia="zh-CN"/>
              </w:rPr>
              <w:t>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default"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hAnsi="宋体"/>
                <w:color w:val="auto"/>
                <w:sz w:val="21"/>
                <w:szCs w:val="21"/>
              </w:rPr>
              <w:t>潜在火灾、</w:t>
            </w:r>
            <w:r>
              <w:rPr>
                <w:rFonts w:hint="eastAsia" w:ascii="宋体" w:hAnsi="宋体"/>
                <w:color w:val="auto"/>
                <w:sz w:val="21"/>
                <w:szCs w:val="21"/>
                <w:lang w:val="en-US" w:eastAsia="zh-CN"/>
              </w:rPr>
              <w:t>触电控制程序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综合管理部、物资部、业务部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办公经营场所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综合管理部、物资部、业务部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办公经营场所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p>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color w:val="000000" w:themeColor="text1"/>
                <w:sz w:val="21"/>
                <w:szCs w:val="21"/>
              </w:rPr>
              <w:t>建立有《内部审核控制程</w:t>
            </w:r>
            <w:r>
              <w:rPr>
                <w:rFonts w:hint="eastAsia" w:ascii="宋体" w:hAnsi="宋体" w:cs="Times New Roman"/>
                <w:color w:val="000000" w:themeColor="text1"/>
                <w:sz w:val="21"/>
                <w:szCs w:val="21"/>
              </w:rPr>
              <w:t>序》，于2020年1</w:t>
            </w:r>
            <w:r>
              <w:rPr>
                <w:rFonts w:hint="eastAsia" w:ascii="宋体" w:hAnsi="宋体" w:cs="Times New Roman"/>
                <w:color w:val="000000" w:themeColor="text1"/>
                <w:sz w:val="21"/>
                <w:szCs w:val="21"/>
                <w:lang w:val="en-US" w:eastAsia="zh-CN"/>
              </w:rPr>
              <w:t>2</w:t>
            </w:r>
            <w:r>
              <w:rPr>
                <w:rFonts w:hint="eastAsia" w:ascii="宋体" w:hAnsi="宋体" w:cs="Times New Roman"/>
                <w:color w:val="000000" w:themeColor="text1"/>
                <w:sz w:val="21"/>
                <w:szCs w:val="21"/>
              </w:rPr>
              <w:t>月</w:t>
            </w:r>
            <w:r>
              <w:rPr>
                <w:rFonts w:hint="eastAsia" w:ascii="宋体" w:hAnsi="宋体" w:cs="Times New Roman"/>
                <w:color w:val="000000" w:themeColor="text1"/>
                <w:sz w:val="21"/>
                <w:szCs w:val="21"/>
                <w:lang w:val="en-US" w:eastAsia="zh-CN"/>
              </w:rPr>
              <w:t>20</w:t>
            </w:r>
            <w:r>
              <w:rPr>
                <w:rFonts w:hint="eastAsia" w:ascii="宋体" w:hAnsi="宋体" w:cs="Times New Roman"/>
                <w:color w:val="000000" w:themeColor="text1"/>
                <w:sz w:val="21"/>
                <w:szCs w:val="21"/>
              </w:rPr>
              <w:t>日至1</w:t>
            </w:r>
            <w:r>
              <w:rPr>
                <w:rFonts w:hint="eastAsia" w:ascii="宋体" w:hAnsi="宋体" w:cs="Times New Roman"/>
                <w:color w:val="000000" w:themeColor="text1"/>
                <w:sz w:val="21"/>
                <w:szCs w:val="21"/>
                <w:lang w:val="en-US" w:eastAsia="zh-CN"/>
              </w:rPr>
              <w:t>2</w:t>
            </w:r>
            <w:r>
              <w:rPr>
                <w:rFonts w:hint="eastAsia" w:ascii="宋体" w:hAnsi="宋体" w:cs="Times New Roman"/>
                <w:color w:val="000000" w:themeColor="text1"/>
                <w:sz w:val="21"/>
                <w:szCs w:val="21"/>
              </w:rPr>
              <w:t>月</w:t>
            </w:r>
            <w:r>
              <w:rPr>
                <w:rFonts w:hint="eastAsia" w:ascii="宋体" w:hAnsi="宋体" w:cs="Times New Roman"/>
                <w:color w:val="000000" w:themeColor="text1"/>
                <w:sz w:val="21"/>
                <w:szCs w:val="21"/>
                <w:lang w:val="en-US" w:eastAsia="zh-CN"/>
              </w:rPr>
              <w:t>21</w:t>
            </w:r>
            <w:r>
              <w:rPr>
                <w:rFonts w:hint="eastAsia" w:ascii="宋体" w:hAnsi="宋体" w:cs="Times New Roman"/>
                <w:color w:val="000000" w:themeColor="text1"/>
                <w:sz w:val="21"/>
                <w:szCs w:val="21"/>
              </w:rPr>
              <w:t>日进行了内部审核。内部审核组组成：审核组长：</w:t>
            </w:r>
            <w:r>
              <w:rPr>
                <w:rFonts w:hint="eastAsia" w:ascii="宋体" w:hAnsi="宋体"/>
                <w:color w:val="000000" w:themeColor="text1"/>
                <w:szCs w:val="21"/>
              </w:rPr>
              <w:t>胡小隆    组员：熊文斌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w:t>
            </w:r>
            <w:r>
              <w:rPr>
                <w:rFonts w:hint="eastAsia"/>
                <w:color w:val="000000" w:themeColor="text1"/>
                <w:sz w:val="21"/>
                <w:szCs w:val="21"/>
                <w:lang w:val="en-US" w:eastAsia="zh-CN"/>
              </w:rPr>
              <w:t>环境、职业健康安全</w:t>
            </w:r>
            <w:r>
              <w:rPr>
                <w:rFonts w:hint="eastAsia"/>
                <w:color w:val="000000" w:themeColor="text1"/>
                <w:sz w:val="21"/>
                <w:szCs w:val="21"/>
              </w:rPr>
              <w:t>管理体系有关的所有部门、活动和人员</w:t>
            </w:r>
          </w:p>
          <w:p>
            <w:pPr>
              <w:spacing w:line="260" w:lineRule="exact"/>
              <w:rPr>
                <w:rFonts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eastAsia="宋体" w:cs="Times New Roman"/>
                <w:b/>
                <w:color w:val="000000" w:themeColor="text1"/>
                <w:kern w:val="2"/>
                <w:sz w:val="21"/>
                <w:szCs w:val="21"/>
                <w:lang w:val="en-US" w:eastAsia="zh-CN" w:bidi="ar-SA"/>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Times New Roman" w:hAnsi="Times New Roman" w:cs="Times New Roman"/>
                <w:color w:val="000000" w:themeColor="text1"/>
                <w:sz w:val="21"/>
                <w:szCs w:val="21"/>
              </w:rPr>
              <w:t>202</w:t>
            </w:r>
            <w:r>
              <w:rPr>
                <w:rFonts w:hint="eastAsia" w:ascii="Times New Roman" w:hAnsi="Times New Roman" w:cs="Times New Roman"/>
                <w:color w:val="000000" w:themeColor="text1"/>
                <w:sz w:val="21"/>
                <w:szCs w:val="21"/>
                <w:lang w:val="en-US" w:eastAsia="zh-CN"/>
              </w:rPr>
              <w:t>1</w:t>
            </w:r>
            <w:r>
              <w:rPr>
                <w:rFonts w:hint="eastAsia" w:ascii="Times New Roman" w:hAnsi="Times New Roman" w:cs="Times New Roman"/>
                <w:color w:val="000000" w:themeColor="text1"/>
                <w:sz w:val="21"/>
                <w:szCs w:val="21"/>
              </w:rPr>
              <w:t>年1月</w:t>
            </w:r>
            <w:r>
              <w:rPr>
                <w:rFonts w:hint="eastAsia" w:ascii="Times New Roman" w:hAnsi="Times New Roman" w:cs="Times New Roman"/>
                <w:color w:val="000000" w:themeColor="text1"/>
                <w:sz w:val="21"/>
                <w:szCs w:val="21"/>
                <w:lang w:val="en-US" w:eastAsia="zh-CN"/>
              </w:rPr>
              <w:t>16</w:t>
            </w:r>
            <w:r>
              <w:rPr>
                <w:rFonts w:hint="eastAsia" w:ascii="Times New Roman" w:hAnsi="Times New Roman" w:cs="Times New Roman"/>
                <w:color w:val="000000" w:themeColor="text1"/>
                <w:sz w:val="21"/>
                <w:szCs w:val="21"/>
              </w:rPr>
              <w:t>日由总经理主持就管理方针和目标，评价和审定管理体系运行的适宜性、充分性和有效性进</w:t>
            </w:r>
            <w:r>
              <w:rPr>
                <w:rFonts w:hint="eastAsia"/>
                <w:color w:val="000000" w:themeColor="text1"/>
                <w:sz w:val="21"/>
                <w:szCs w:val="21"/>
              </w:rPr>
              <w:t>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Times New Roman"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vAlign w:val="top"/>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z w:val="20"/>
                <w:szCs w:val="20"/>
                <w:lang w:eastAsia="zh-CN"/>
              </w:rPr>
              <w:t>■</w:t>
            </w:r>
            <w:r>
              <w:rPr>
                <w:rFonts w:ascii="宋体" w:hAnsi="宋体"/>
                <w:b/>
                <w:color w:val="000000"/>
                <w:sz w:val="20"/>
                <w:szCs w:val="20"/>
              </w:rPr>
              <w:t>EMS/</w:t>
            </w:r>
            <w:r>
              <w:rPr>
                <w:rFonts w:hint="eastAsia" w:ascii="宋体" w:hAnsi="宋体"/>
                <w:b/>
                <w:color w:val="000000"/>
                <w:sz w:val="20"/>
                <w:szCs w:val="20"/>
                <w:lang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w:t>
      </w:r>
      <w:r>
        <w:rPr>
          <w:rFonts w:hint="eastAsia" w:ascii="宋体" w:hAnsi="宋体"/>
          <w:b/>
          <w:color w:val="000000"/>
          <w:sz w:val="20"/>
          <w:szCs w:val="20"/>
          <w:u w:val="single"/>
        </w:rPr>
        <w:t>建材销售所涉及场所的相关环境管理活动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w:t>
      </w:r>
      <w:r>
        <w:rPr>
          <w:rFonts w:hint="eastAsia" w:ascii="宋体" w:hAnsi="宋体"/>
          <w:b/>
          <w:color w:val="000000"/>
          <w:sz w:val="20"/>
          <w:szCs w:val="20"/>
          <w:u w:val="single"/>
        </w:rPr>
        <w:t>建材销售所涉及场所的相关职业健康安全管理活动</w:t>
      </w:r>
      <w:r>
        <w:rPr>
          <w:rFonts w:ascii="宋体" w:hAnsi="宋体"/>
          <w:b/>
          <w:color w:val="000000"/>
          <w:sz w:val="20"/>
          <w:szCs w:val="20"/>
          <w:u w:val="single"/>
        </w:rPr>
        <w:t>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70528" behindDoc="0" locked="0" layoutInCell="1" allowOverlap="1">
            <wp:simplePos x="0" y="0"/>
            <wp:positionH relativeFrom="column">
              <wp:posOffset>1880235</wp:posOffset>
            </wp:positionH>
            <wp:positionV relativeFrom="paragraph">
              <wp:posOffset>311150</wp:posOffset>
            </wp:positionV>
            <wp:extent cx="329565" cy="285115"/>
            <wp:effectExtent l="0" t="0" r="5715" b="4445"/>
            <wp:wrapNone/>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6"/>
                    <a:stretch>
                      <a:fillRect/>
                    </a:stretch>
                  </pic:blipFill>
                  <pic:spPr>
                    <a:xfrm>
                      <a:off x="0" y="0"/>
                      <a:ext cx="329565" cy="28511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rPr>
        <w:drawing>
          <wp:anchor distT="0" distB="0" distL="114300" distR="114300" simplePos="0" relativeHeight="251755520" behindDoc="0" locked="0" layoutInCell="1" allowOverlap="1">
            <wp:simplePos x="0" y="0"/>
            <wp:positionH relativeFrom="column">
              <wp:posOffset>1782445</wp:posOffset>
            </wp:positionH>
            <wp:positionV relativeFrom="paragraph">
              <wp:posOffset>65405</wp:posOffset>
            </wp:positionV>
            <wp:extent cx="544830" cy="248920"/>
            <wp:effectExtent l="0" t="0" r="3810" b="10160"/>
            <wp:wrapNone/>
            <wp:docPr id="5"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87ac17c702f787ebcb7b5ad453f94b0"/>
                    <pic:cNvPicPr>
                      <a:picLocks noChangeAspect="1"/>
                    </pic:cNvPicPr>
                  </pic:nvPicPr>
                  <pic:blipFill>
                    <a:blip r:embed="rId7"/>
                    <a:stretch>
                      <a:fillRect/>
                    </a:stretch>
                  </pic:blipFill>
                  <pic:spPr>
                    <a:xfrm>
                      <a:off x="0" y="0"/>
                      <a:ext cx="544830" cy="248920"/>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2021年1月25日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C2363E"/>
    <w:rsid w:val="58260248"/>
    <w:rsid w:val="64046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2021-01-29T03:15:46Z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